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92681">
      <w:pPr>
        <w:bidi w:val="0"/>
        <w:spacing w:line="360" w:lineRule="auto"/>
        <w:rPr>
          <w:rFonts w:hint="eastAsia" w:ascii="仿宋" w:hAnsi="仿宋" w:eastAsia="仿宋" w:cs="仿宋"/>
          <w:sz w:val="24"/>
          <w:szCs w:val="24"/>
        </w:rPr>
      </w:pPr>
    </w:p>
    <w:p w14:paraId="7B90AA38">
      <w:pPr>
        <w:bidi w:val="0"/>
        <w:spacing w:line="360" w:lineRule="auto"/>
        <w:rPr>
          <w:rFonts w:hint="eastAsia" w:ascii="仿宋" w:hAnsi="仿宋" w:eastAsia="仿宋" w:cs="仿宋"/>
          <w:sz w:val="24"/>
          <w:szCs w:val="24"/>
        </w:rPr>
      </w:pPr>
    </w:p>
    <w:p w14:paraId="1DA8408E">
      <w:pPr>
        <w:bidi w:val="0"/>
        <w:spacing w:line="360" w:lineRule="auto"/>
        <w:jc w:val="center"/>
        <w:rPr>
          <w:rFonts w:hint="eastAsia" w:ascii="方正小标宋简体" w:hAnsi="方正小标宋简体" w:eastAsia="方正小标宋简体" w:cs="方正小标宋简体"/>
          <w:sz w:val="48"/>
          <w:szCs w:val="48"/>
        </w:rPr>
      </w:pPr>
      <w:r>
        <w:rPr>
          <w:rFonts w:hint="eastAsia" w:ascii="方正小标宋简体" w:hAnsi="方正小标宋简体" w:eastAsia="方正小标宋简体" w:cs="方正小标宋简体"/>
          <w:sz w:val="48"/>
          <w:szCs w:val="48"/>
        </w:rPr>
        <w:t>杭州华佳标准件有限公司</w:t>
      </w:r>
    </w:p>
    <w:p w14:paraId="597F5910">
      <w:pPr>
        <w:bidi w:val="0"/>
        <w:spacing w:line="360" w:lineRule="auto"/>
        <w:jc w:val="center"/>
        <w:rPr>
          <w:rFonts w:hint="eastAsia" w:ascii="方正小标宋简体" w:hAnsi="方正小标宋简体" w:eastAsia="方正小标宋简体" w:cs="方正小标宋简体"/>
          <w:sz w:val="48"/>
          <w:szCs w:val="48"/>
        </w:rPr>
      </w:pPr>
      <w:r>
        <w:rPr>
          <w:rFonts w:hint="eastAsia" w:ascii="方正小标宋简体" w:hAnsi="方正小标宋简体" w:eastAsia="方正小标宋简体" w:cs="方正小标宋简体"/>
          <w:sz w:val="48"/>
          <w:szCs w:val="48"/>
        </w:rPr>
        <w:t>质量诚信报告</w:t>
      </w:r>
    </w:p>
    <w:p w14:paraId="5E8CA7DC">
      <w:pPr>
        <w:bidi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5270500" cy="3216910"/>
            <wp:effectExtent l="0" t="0" r="6350" b="2540"/>
            <wp:docPr id="1" name="图片 1" descr="054352028b690fa2ba93c9af1b556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54352028b690fa2ba93c9af1b556ac"/>
                    <pic:cNvPicPr>
                      <a:picLocks noChangeAspect="1"/>
                    </pic:cNvPicPr>
                  </pic:nvPicPr>
                  <pic:blipFill>
                    <a:blip r:embed="rId14"/>
                    <a:stretch>
                      <a:fillRect/>
                    </a:stretch>
                  </pic:blipFill>
                  <pic:spPr>
                    <a:xfrm>
                      <a:off x="0" y="0"/>
                      <a:ext cx="5270500" cy="3216910"/>
                    </a:xfrm>
                    <a:prstGeom prst="rect">
                      <a:avLst/>
                    </a:prstGeom>
                  </pic:spPr>
                </pic:pic>
              </a:graphicData>
            </a:graphic>
          </wp:inline>
        </w:drawing>
      </w:r>
    </w:p>
    <w:p w14:paraId="46894B40">
      <w:pPr>
        <w:bidi w:val="0"/>
        <w:spacing w:line="360" w:lineRule="auto"/>
        <w:rPr>
          <w:rFonts w:hint="eastAsia" w:ascii="仿宋" w:hAnsi="仿宋" w:eastAsia="仿宋" w:cs="仿宋"/>
          <w:sz w:val="24"/>
          <w:szCs w:val="24"/>
        </w:rPr>
      </w:pPr>
    </w:p>
    <w:p w14:paraId="632F3511">
      <w:pPr>
        <w:bidi w:val="0"/>
        <w:spacing w:line="360" w:lineRule="auto"/>
        <w:rPr>
          <w:rFonts w:hint="eastAsia" w:ascii="仿宋" w:hAnsi="仿宋" w:eastAsia="仿宋" w:cs="仿宋"/>
          <w:sz w:val="24"/>
          <w:szCs w:val="24"/>
        </w:rPr>
      </w:pPr>
    </w:p>
    <w:p w14:paraId="7CD9A58C">
      <w:pPr>
        <w:bidi w:val="0"/>
        <w:spacing w:line="360" w:lineRule="auto"/>
        <w:rPr>
          <w:rFonts w:hint="eastAsia" w:ascii="仿宋" w:hAnsi="仿宋" w:eastAsia="仿宋" w:cs="仿宋"/>
          <w:sz w:val="24"/>
          <w:szCs w:val="24"/>
        </w:rPr>
      </w:pPr>
    </w:p>
    <w:p w14:paraId="7E474511">
      <w:pPr>
        <w:bidi w:val="0"/>
        <w:spacing w:line="360" w:lineRule="auto"/>
        <w:rPr>
          <w:rFonts w:hint="eastAsia" w:ascii="仿宋" w:hAnsi="仿宋" w:eastAsia="仿宋" w:cs="仿宋"/>
          <w:sz w:val="24"/>
          <w:szCs w:val="24"/>
        </w:rPr>
      </w:pPr>
    </w:p>
    <w:p w14:paraId="1FF1E7F5">
      <w:pPr>
        <w:bidi w:val="0"/>
        <w:spacing w:line="360" w:lineRule="auto"/>
        <w:jc w:val="center"/>
        <w:rPr>
          <w:rFonts w:hint="eastAsia" w:ascii="方正小标宋简体" w:hAnsi="方正小标宋简体" w:eastAsia="方正小标宋简体" w:cs="方正小标宋简体"/>
          <w:sz w:val="32"/>
          <w:szCs w:val="32"/>
        </w:rPr>
      </w:pPr>
    </w:p>
    <w:p w14:paraId="09978151">
      <w:pPr>
        <w:bidi w:val="0"/>
        <w:spacing w:line="360" w:lineRule="auto"/>
        <w:jc w:val="center"/>
        <w:rPr>
          <w:rFonts w:hint="default" w:ascii="方正小标宋简体" w:hAnsi="方正小标宋简体" w:eastAsia="方正小标宋简体" w:cs="方正小标宋简体"/>
          <w:sz w:val="32"/>
          <w:szCs w:val="32"/>
          <w:lang w:val="en-US" w:eastAsia="zh-CN"/>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titlePg/>
          <w:docGrid w:type="lines" w:linePitch="312" w:charSpace="0"/>
        </w:sectPr>
      </w:pPr>
      <w:r>
        <w:rPr>
          <w:rFonts w:hint="eastAsia" w:ascii="方正小标宋简体" w:hAnsi="方正小标宋简体" w:eastAsia="方正小标宋简体" w:cs="方正小标宋简体"/>
          <w:sz w:val="32"/>
          <w:szCs w:val="32"/>
        </w:rPr>
        <w:t>202</w:t>
      </w:r>
      <w:r>
        <w:rPr>
          <w:rFonts w:hint="eastAsia" w:ascii="方正小标宋简体" w:hAnsi="方正小标宋简体" w:eastAsia="方正小标宋简体" w:cs="方正小标宋简体"/>
          <w:sz w:val="32"/>
          <w:szCs w:val="32"/>
          <w:lang w:val="en-US" w:eastAsia="zh-CN"/>
        </w:rPr>
        <w:t>6</w:t>
      </w:r>
      <w:r>
        <w:rPr>
          <w:rFonts w:hint="eastAsia" w:ascii="方正小标宋简体" w:hAnsi="方正小标宋简体" w:eastAsia="方正小标宋简体" w:cs="方正小标宋简体"/>
          <w:sz w:val="32"/>
          <w:szCs w:val="32"/>
        </w:rPr>
        <w:t>年</w:t>
      </w:r>
      <w:r>
        <w:rPr>
          <w:rFonts w:hint="eastAsia" w:ascii="方正小标宋简体" w:hAnsi="方正小标宋简体" w:eastAsia="方正小标宋简体" w:cs="方正小标宋简体"/>
          <w:sz w:val="32"/>
          <w:szCs w:val="32"/>
          <w:lang w:val="en-US" w:eastAsia="zh-CN"/>
        </w:rPr>
        <w:t>6</w:t>
      </w:r>
      <w:r>
        <w:rPr>
          <w:rFonts w:hint="eastAsia" w:ascii="方正小标宋简体" w:hAnsi="方正小标宋简体" w:eastAsia="方正小标宋简体" w:cs="方正小标宋简体"/>
          <w:sz w:val="32"/>
          <w:szCs w:val="32"/>
        </w:rPr>
        <w:t>月</w:t>
      </w:r>
      <w:r>
        <w:rPr>
          <w:rFonts w:hint="eastAsia" w:ascii="方正小标宋简体" w:hAnsi="方正小标宋简体" w:eastAsia="方正小标宋简体" w:cs="方正小标宋简体"/>
          <w:sz w:val="32"/>
          <w:szCs w:val="32"/>
          <w:lang w:val="en-US" w:eastAsia="zh-CN"/>
        </w:rPr>
        <w:t xml:space="preserve"> 22 </w:t>
      </w:r>
      <w:bookmarkStart w:id="60" w:name="_GoBack"/>
      <w:r>
        <w:rPr>
          <w:rFonts w:hint="eastAsia" w:ascii="方正小标宋简体" w:hAnsi="方正小标宋简体" w:eastAsia="方正小标宋简体" w:cs="方正小标宋简体"/>
          <w:b/>
          <w:bCs/>
          <w:sz w:val="32"/>
          <w:szCs w:val="32"/>
          <w:lang w:val="en-US" w:eastAsia="zh-CN"/>
        </w:rPr>
        <w:t>日</w:t>
      </w:r>
      <w:bookmarkEnd w:id="60"/>
    </w:p>
    <w:p w14:paraId="57F644B5">
      <w:pPr>
        <w:bidi w:val="0"/>
        <w:spacing w:line="360" w:lineRule="auto"/>
        <w:jc w:val="center"/>
        <w:rPr>
          <w:rFonts w:hint="eastAsia" w:ascii="仿宋" w:hAnsi="仿宋" w:eastAsia="仿宋" w:cs="仿宋"/>
          <w:sz w:val="24"/>
          <w:szCs w:val="24"/>
        </w:rPr>
      </w:pPr>
    </w:p>
    <w:p w14:paraId="62D6EF75">
      <w:pPr>
        <w:bidi w:val="0"/>
        <w:spacing w:line="360" w:lineRule="auto"/>
        <w:jc w:val="center"/>
        <w:rPr>
          <w:rFonts w:hint="eastAsia" w:ascii="仿宋" w:hAnsi="仿宋" w:eastAsia="仿宋" w:cs="仿宋"/>
          <w:sz w:val="24"/>
          <w:szCs w:val="24"/>
        </w:rPr>
      </w:pPr>
    </w:p>
    <w:p w14:paraId="5DB1058D">
      <w:pPr>
        <w:bidi w:val="0"/>
        <w:spacing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郑重声明</w:t>
      </w:r>
    </w:p>
    <w:p w14:paraId="262A2975">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本公司出具的质量诚信报告，是依据国家有关质量法律、法规等进行撰写。报告中关于公司质量诚信是公司现状的真实反映，本公司对报告内容的客观性负责，对相关论述和结论真实性和科学性负责。</w:t>
      </w:r>
    </w:p>
    <w:p w14:paraId="3BDBB4EB">
      <w:pPr>
        <w:bidi w:val="0"/>
        <w:spacing w:line="360" w:lineRule="auto"/>
        <w:rPr>
          <w:rFonts w:hint="eastAsia" w:ascii="仿宋" w:hAnsi="仿宋" w:eastAsia="仿宋" w:cs="仿宋"/>
          <w:sz w:val="24"/>
          <w:szCs w:val="24"/>
        </w:rPr>
      </w:pPr>
    </w:p>
    <w:p w14:paraId="50B701F8">
      <w:pPr>
        <w:bidi w:val="0"/>
        <w:spacing w:line="360" w:lineRule="auto"/>
        <w:jc w:val="right"/>
        <w:rPr>
          <w:rFonts w:hint="eastAsia" w:ascii="仿宋" w:hAnsi="仿宋" w:eastAsia="仿宋" w:cs="仿宋"/>
          <w:sz w:val="24"/>
          <w:szCs w:val="24"/>
        </w:rPr>
      </w:pPr>
    </w:p>
    <w:p w14:paraId="4EA1655C">
      <w:pPr>
        <w:bidi w:val="0"/>
        <w:spacing w:line="360" w:lineRule="auto"/>
        <w:jc w:val="right"/>
        <w:rPr>
          <w:rFonts w:hint="eastAsia" w:ascii="仿宋" w:hAnsi="仿宋" w:eastAsia="仿宋" w:cs="仿宋"/>
          <w:sz w:val="24"/>
          <w:szCs w:val="24"/>
        </w:rPr>
      </w:pPr>
      <w:r>
        <w:rPr>
          <w:rFonts w:hint="eastAsia" w:ascii="仿宋" w:hAnsi="仿宋" w:eastAsia="仿宋" w:cs="仿宋"/>
          <w:sz w:val="24"/>
          <w:szCs w:val="24"/>
        </w:rPr>
        <w:t xml:space="preserve">杭州华佳标准件有限公司 </w:t>
      </w:r>
    </w:p>
    <w:p w14:paraId="7944EBE5">
      <w:pPr>
        <w:bidi w:val="0"/>
        <w:spacing w:line="360" w:lineRule="auto"/>
        <w:rPr>
          <w:rFonts w:hint="eastAsia" w:ascii="仿宋" w:hAnsi="仿宋" w:eastAsia="仿宋" w:cs="仿宋"/>
          <w:sz w:val="24"/>
          <w:szCs w:val="24"/>
        </w:rPr>
      </w:pPr>
      <w:r>
        <w:rPr>
          <w:rFonts w:hint="eastAsia" w:ascii="仿宋" w:hAnsi="仿宋" w:eastAsia="仿宋" w:cs="仿宋"/>
          <w:sz w:val="24"/>
          <w:szCs w:val="24"/>
        </w:rPr>
        <w:br w:type="page"/>
      </w:r>
    </w:p>
    <w:p w14:paraId="368AEDB7">
      <w:pPr>
        <w:bidi w:val="0"/>
        <w:spacing w:line="360" w:lineRule="auto"/>
        <w:jc w:val="center"/>
        <w:rPr>
          <w:rFonts w:hint="eastAsia" w:ascii="方正小标宋简体" w:hAnsi="方正小标宋简体" w:eastAsia="方正小标宋简体" w:cs="方正小标宋简体"/>
          <w:sz w:val="32"/>
          <w:szCs w:val="32"/>
        </w:rPr>
      </w:pPr>
      <w:bookmarkStart w:id="0" w:name="_Toc26178"/>
      <w:bookmarkStart w:id="1" w:name="_Toc84955490"/>
    </w:p>
    <w:p w14:paraId="7A0755D1">
      <w:pPr>
        <w:bidi w:val="0"/>
        <w:spacing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前言</w:t>
      </w:r>
      <w:bookmarkEnd w:id="0"/>
      <w:bookmarkEnd w:id="1"/>
    </w:p>
    <w:p w14:paraId="6744974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本报告为杭州华佳标准件有限公司（以下简称为“华佳”或“公司”）</w:t>
      </w:r>
      <w:r>
        <w:rPr>
          <w:rFonts w:hint="eastAsia" w:ascii="仿宋" w:hAnsi="仿宋" w:eastAsia="仿宋" w:cs="仿宋"/>
          <w:sz w:val="24"/>
          <w:szCs w:val="24"/>
          <w:lang w:val="en-US" w:eastAsia="zh-CN"/>
        </w:rPr>
        <w:t>第4</w:t>
      </w:r>
      <w:r>
        <w:rPr>
          <w:rFonts w:hint="eastAsia" w:ascii="仿宋" w:hAnsi="仿宋" w:eastAsia="仿宋" w:cs="仿宋"/>
          <w:sz w:val="24"/>
          <w:szCs w:val="24"/>
        </w:rPr>
        <w:t>次公开发布的《质量诚信报告》。本公司保证报告中所载资料不存在任何虚假记载、误导性陈述，并对其内容的真实性、准确性承担责任。</w:t>
      </w:r>
    </w:p>
    <w:p w14:paraId="26E28E8C">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组织范围：杭州华佳标准件有限公司</w:t>
      </w:r>
    </w:p>
    <w:p w14:paraId="45C52D38">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报告时间：本报告涵盖的时间范围为 </w:t>
      </w:r>
      <w:r>
        <w:rPr>
          <w:rFonts w:hint="eastAsia" w:ascii="仿宋" w:hAnsi="仿宋" w:eastAsia="仿宋" w:cs="仿宋"/>
          <w:sz w:val="24"/>
          <w:szCs w:val="24"/>
          <w:lang w:eastAsia="zh-CN"/>
        </w:rPr>
        <w:t>2025</w:t>
      </w:r>
      <w:r>
        <w:rPr>
          <w:rFonts w:hint="eastAsia" w:ascii="仿宋" w:hAnsi="仿宋" w:eastAsia="仿宋" w:cs="仿宋"/>
          <w:sz w:val="24"/>
          <w:szCs w:val="24"/>
        </w:rPr>
        <w:t>年1月1日至12月31日，本报告为杭州华佳标准件有限公司的第</w:t>
      </w:r>
      <w:r>
        <w:rPr>
          <w:rFonts w:hint="eastAsia" w:ascii="仿宋" w:hAnsi="仿宋" w:eastAsia="仿宋" w:cs="仿宋"/>
          <w:sz w:val="24"/>
          <w:szCs w:val="24"/>
          <w:lang w:val="en-US" w:eastAsia="zh-CN"/>
        </w:rPr>
        <w:t>6</w:t>
      </w:r>
      <w:r>
        <w:rPr>
          <w:rFonts w:hint="eastAsia" w:ascii="仿宋" w:hAnsi="仿宋" w:eastAsia="仿宋" w:cs="仿宋"/>
          <w:sz w:val="24"/>
          <w:szCs w:val="24"/>
        </w:rPr>
        <w:t>份质量诚信报告。</w:t>
      </w:r>
    </w:p>
    <w:p w14:paraId="7CAC9B37">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发布周期:一年</w:t>
      </w:r>
    </w:p>
    <w:p w14:paraId="2B80B15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报告获取方式:通过公司</w:t>
      </w:r>
      <w:r>
        <w:rPr>
          <w:rFonts w:hint="eastAsia" w:ascii="仿宋" w:hAnsi="仿宋" w:eastAsia="仿宋" w:cs="仿宋"/>
          <w:sz w:val="24"/>
          <w:szCs w:val="24"/>
          <w:lang w:val="en-US" w:eastAsia="zh-CN"/>
        </w:rPr>
        <w:t>网站</w:t>
      </w:r>
      <w:r>
        <w:rPr>
          <w:rFonts w:hint="eastAsia" w:ascii="仿宋" w:hAnsi="仿宋" w:eastAsia="仿宋" w:cs="仿宋"/>
          <w:sz w:val="24"/>
          <w:szCs w:val="24"/>
        </w:rPr>
        <w:t>www.huajiabzj.com下载</w:t>
      </w:r>
    </w:p>
    <w:p w14:paraId="3B590E13">
      <w:pPr>
        <w:bidi w:val="0"/>
        <w:spacing w:line="360" w:lineRule="auto"/>
        <w:rPr>
          <w:rFonts w:hint="eastAsia" w:ascii="仿宋" w:hAnsi="仿宋" w:eastAsia="仿宋" w:cs="仿宋"/>
          <w:sz w:val="24"/>
          <w:szCs w:val="24"/>
        </w:rPr>
      </w:pPr>
      <w:r>
        <w:rPr>
          <w:rFonts w:hint="eastAsia" w:ascii="仿宋" w:hAnsi="仿宋" w:eastAsia="仿宋" w:cs="仿宋"/>
          <w:sz w:val="24"/>
          <w:szCs w:val="24"/>
        </w:rPr>
        <w:br w:type="page"/>
      </w:r>
    </w:p>
    <w:p w14:paraId="5A03E337">
      <w:pPr>
        <w:pStyle w:val="9"/>
        <w:tabs>
          <w:tab w:val="right" w:leader="dot" w:pos="9638"/>
          <w:tab w:val="clear" w:pos="8296"/>
        </w:tabs>
        <w:rPr>
          <w:rFonts w:hint="eastAsia" w:ascii="方正小标宋简体" w:hAnsi="方正小标宋简体" w:eastAsia="方正小标宋简体" w:cs="方正小标宋简体"/>
          <w:sz w:val="48"/>
          <w:szCs w:val="48"/>
          <w:lang w:val="en-US" w:eastAsia="zh-CN"/>
        </w:rPr>
      </w:pPr>
      <w:r>
        <w:rPr>
          <w:rFonts w:hint="eastAsia" w:ascii="方正小标宋简体" w:hAnsi="方正小标宋简体" w:eastAsia="方正小标宋简体" w:cs="方正小标宋简体"/>
          <w:sz w:val="48"/>
          <w:szCs w:val="48"/>
          <w:lang w:val="en-US" w:eastAsia="zh-CN"/>
        </w:rPr>
        <w:t>目     录</w:t>
      </w:r>
    </w:p>
    <w:p w14:paraId="3A938048">
      <w:pPr>
        <w:pStyle w:val="9"/>
        <w:tabs>
          <w:tab w:val="right" w:leader="dot" w:pos="8306"/>
          <w:tab w:val="clear" w:pos="829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"1-3" \h \u </w:instrText>
      </w:r>
      <w:r>
        <w:rPr>
          <w:rFonts w:hint="eastAsia" w:ascii="仿宋" w:hAnsi="仿宋" w:eastAsia="仿宋" w:cs="仿宋"/>
          <w:sz w:val="28"/>
          <w:szCs w:val="28"/>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_Toc14224 </w:instrText>
      </w:r>
      <w:r>
        <w:rPr>
          <w:rFonts w:hint="eastAsia" w:ascii="仿宋" w:hAnsi="仿宋" w:eastAsia="仿宋" w:cs="仿宋"/>
          <w:sz w:val="28"/>
          <w:szCs w:val="28"/>
        </w:rPr>
        <w:fldChar w:fldCharType="separate"/>
      </w:r>
      <w:r>
        <w:rPr>
          <w:rFonts w:hint="eastAsia" w:ascii="仿宋" w:hAnsi="仿宋" w:eastAsia="仿宋" w:cs="仿宋"/>
          <w:sz w:val="28"/>
          <w:szCs w:val="28"/>
        </w:rPr>
        <w:t>公司简介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_Toc14224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0B64216">
      <w:pPr>
        <w:pStyle w:val="9"/>
        <w:tabs>
          <w:tab w:val="right" w:leader="dot" w:pos="8306"/>
          <w:tab w:val="clear" w:pos="829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_Toc7201 </w:instrText>
      </w:r>
      <w:r>
        <w:rPr>
          <w:rFonts w:hint="eastAsia" w:ascii="仿宋" w:hAnsi="仿宋" w:eastAsia="仿宋" w:cs="仿宋"/>
          <w:sz w:val="28"/>
          <w:szCs w:val="28"/>
        </w:rPr>
        <w:fldChar w:fldCharType="separate"/>
      </w:r>
      <w:r>
        <w:rPr>
          <w:rFonts w:hint="eastAsia" w:ascii="仿宋" w:hAnsi="仿宋" w:eastAsia="仿宋" w:cs="仿宋"/>
          <w:sz w:val="28"/>
          <w:szCs w:val="28"/>
        </w:rPr>
        <w:t>第一章 质量理念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_Toc7201 \h </w:instrText>
      </w:r>
      <w:r>
        <w:rPr>
          <w:rFonts w:hint="eastAsia" w:ascii="仿宋" w:hAnsi="仿宋" w:eastAsia="仿宋" w:cs="仿宋"/>
          <w:sz w:val="28"/>
          <w:szCs w:val="28"/>
        </w:rPr>
        <w:fldChar w:fldCharType="separate"/>
      </w:r>
      <w:r>
        <w:rPr>
          <w:rFonts w:hint="eastAsia" w:ascii="仿宋" w:hAnsi="仿宋" w:eastAsia="仿宋" w:cs="仿宋"/>
          <w:sz w:val="28"/>
          <w:szCs w:val="28"/>
        </w:rPr>
        <w:t>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9EF7E86">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_Toc28925 </w:instrText>
      </w:r>
      <w:r>
        <w:rPr>
          <w:rFonts w:hint="eastAsia" w:ascii="仿宋" w:hAnsi="仿宋" w:eastAsia="仿宋" w:cs="仿宋"/>
          <w:sz w:val="28"/>
          <w:szCs w:val="28"/>
        </w:rPr>
        <w:fldChar w:fldCharType="separate"/>
      </w:r>
      <w:r>
        <w:rPr>
          <w:rFonts w:hint="eastAsia" w:ascii="仿宋" w:hAnsi="仿宋" w:eastAsia="仿宋" w:cs="仿宋"/>
          <w:sz w:val="28"/>
          <w:szCs w:val="28"/>
        </w:rPr>
        <w:t>1.1企业文化</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_Toc28925 \h </w:instrText>
      </w:r>
      <w:r>
        <w:rPr>
          <w:rFonts w:hint="eastAsia" w:ascii="仿宋" w:hAnsi="仿宋" w:eastAsia="仿宋" w:cs="仿宋"/>
          <w:sz w:val="28"/>
          <w:szCs w:val="28"/>
        </w:rPr>
        <w:fldChar w:fldCharType="separate"/>
      </w:r>
      <w:r>
        <w:rPr>
          <w:rFonts w:hint="eastAsia" w:ascii="仿宋" w:hAnsi="仿宋" w:eastAsia="仿宋" w:cs="仿宋"/>
          <w:sz w:val="28"/>
          <w:szCs w:val="28"/>
        </w:rPr>
        <w:t>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2C460B7">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_Toc22956 </w:instrText>
      </w:r>
      <w:r>
        <w:rPr>
          <w:rFonts w:hint="eastAsia" w:ascii="仿宋" w:hAnsi="仿宋" w:eastAsia="仿宋" w:cs="仿宋"/>
          <w:sz w:val="28"/>
          <w:szCs w:val="28"/>
        </w:rPr>
        <w:fldChar w:fldCharType="separate"/>
      </w:r>
      <w:r>
        <w:rPr>
          <w:rFonts w:hint="eastAsia" w:ascii="仿宋" w:hAnsi="仿宋" w:eastAsia="仿宋" w:cs="仿宋"/>
          <w:sz w:val="28"/>
          <w:szCs w:val="28"/>
        </w:rPr>
        <w:t>1.2企业质量诚信方针</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_Toc22956 \h </w:instrText>
      </w:r>
      <w:r>
        <w:rPr>
          <w:rFonts w:hint="eastAsia" w:ascii="仿宋" w:hAnsi="仿宋" w:eastAsia="仿宋" w:cs="仿宋"/>
          <w:sz w:val="28"/>
          <w:szCs w:val="28"/>
        </w:rPr>
        <w:fldChar w:fldCharType="separate"/>
      </w:r>
      <w:r>
        <w:rPr>
          <w:rFonts w:hint="eastAsia" w:ascii="仿宋" w:hAnsi="仿宋" w:eastAsia="仿宋" w:cs="仿宋"/>
          <w:sz w:val="28"/>
          <w:szCs w:val="28"/>
        </w:rPr>
        <w:t>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A1AAFB2">
      <w:pPr>
        <w:pStyle w:val="9"/>
        <w:tabs>
          <w:tab w:val="right" w:leader="dot" w:pos="8306"/>
          <w:tab w:val="clear" w:pos="829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_Toc23814 </w:instrText>
      </w:r>
      <w:r>
        <w:rPr>
          <w:rFonts w:hint="eastAsia" w:ascii="仿宋" w:hAnsi="仿宋" w:eastAsia="仿宋" w:cs="仿宋"/>
          <w:sz w:val="28"/>
          <w:szCs w:val="28"/>
        </w:rPr>
        <w:fldChar w:fldCharType="separate"/>
      </w:r>
      <w:r>
        <w:rPr>
          <w:rFonts w:hint="eastAsia" w:ascii="仿宋" w:hAnsi="仿宋" w:eastAsia="仿宋" w:cs="仿宋"/>
          <w:sz w:val="28"/>
          <w:szCs w:val="28"/>
        </w:rPr>
        <w:t>第二章内部质量管理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_Toc23814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EA0D7E8">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_Toc309 </w:instrText>
      </w:r>
      <w:r>
        <w:rPr>
          <w:rFonts w:hint="eastAsia" w:ascii="仿宋" w:hAnsi="仿宋" w:eastAsia="仿宋" w:cs="仿宋"/>
          <w:sz w:val="28"/>
          <w:szCs w:val="28"/>
        </w:rPr>
        <w:fldChar w:fldCharType="separate"/>
      </w:r>
      <w:r>
        <w:rPr>
          <w:rFonts w:hint="eastAsia" w:ascii="仿宋" w:hAnsi="仿宋" w:eastAsia="仿宋" w:cs="仿宋"/>
          <w:sz w:val="28"/>
          <w:szCs w:val="28"/>
        </w:rPr>
        <w:t>2.1质量管理机构</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_Toc309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22577B0">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_Toc5799 </w:instrText>
      </w:r>
      <w:r>
        <w:rPr>
          <w:rFonts w:hint="eastAsia" w:ascii="仿宋" w:hAnsi="仿宋" w:eastAsia="仿宋" w:cs="仿宋"/>
          <w:sz w:val="28"/>
          <w:szCs w:val="28"/>
        </w:rPr>
        <w:fldChar w:fldCharType="separate"/>
      </w:r>
      <w:r>
        <w:rPr>
          <w:rFonts w:hint="eastAsia" w:ascii="仿宋" w:hAnsi="仿宋" w:eastAsia="仿宋" w:cs="仿宋"/>
          <w:sz w:val="28"/>
          <w:szCs w:val="28"/>
        </w:rPr>
        <w:t>2.2质量管理体系</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_Toc5799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F6CDA78">
      <w:pPr>
        <w:pStyle w:val="9"/>
        <w:tabs>
          <w:tab w:val="right" w:leader="dot" w:pos="8306"/>
          <w:tab w:val="clear" w:pos="829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_Toc27207 </w:instrText>
      </w:r>
      <w:r>
        <w:rPr>
          <w:rFonts w:hint="eastAsia" w:ascii="仿宋" w:hAnsi="仿宋" w:eastAsia="仿宋" w:cs="仿宋"/>
          <w:sz w:val="28"/>
          <w:szCs w:val="28"/>
        </w:rPr>
        <w:fldChar w:fldCharType="separate"/>
      </w:r>
      <w:r>
        <w:rPr>
          <w:rFonts w:hint="eastAsia" w:ascii="仿宋" w:hAnsi="仿宋" w:eastAsia="仿宋" w:cs="仿宋"/>
          <w:sz w:val="28"/>
          <w:szCs w:val="28"/>
        </w:rPr>
        <w:t>第三章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质量诚信管理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_Toc27207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CE0FAC5">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_Toc9649 </w:instrText>
      </w:r>
      <w:r>
        <w:rPr>
          <w:rFonts w:hint="eastAsia" w:ascii="仿宋" w:hAnsi="仿宋" w:eastAsia="仿宋" w:cs="仿宋"/>
          <w:sz w:val="28"/>
          <w:szCs w:val="28"/>
        </w:rPr>
        <w:fldChar w:fldCharType="separate"/>
      </w:r>
      <w:r>
        <w:rPr>
          <w:rFonts w:hint="eastAsia" w:ascii="仿宋" w:hAnsi="仿宋" w:eastAsia="仿宋" w:cs="仿宋"/>
          <w:sz w:val="28"/>
          <w:szCs w:val="28"/>
        </w:rPr>
        <w:t>3.1质量承诺</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_Toc9649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1225F04">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_Toc14848 </w:instrText>
      </w:r>
      <w:r>
        <w:rPr>
          <w:rFonts w:hint="eastAsia" w:ascii="仿宋" w:hAnsi="仿宋" w:eastAsia="仿宋" w:cs="仿宋"/>
          <w:sz w:val="28"/>
          <w:szCs w:val="28"/>
        </w:rPr>
        <w:fldChar w:fldCharType="separate"/>
      </w:r>
      <w:r>
        <w:rPr>
          <w:rFonts w:hint="eastAsia" w:ascii="仿宋" w:hAnsi="仿宋" w:eastAsia="仿宋" w:cs="仿宋"/>
          <w:sz w:val="28"/>
          <w:szCs w:val="28"/>
        </w:rPr>
        <w:t>3.2运作管理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_Toc14848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80DE202">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_Toc11548 </w:instrText>
      </w:r>
      <w:r>
        <w:rPr>
          <w:rFonts w:hint="eastAsia" w:ascii="仿宋" w:hAnsi="仿宋" w:eastAsia="仿宋" w:cs="仿宋"/>
          <w:sz w:val="28"/>
          <w:szCs w:val="28"/>
        </w:rPr>
        <w:fldChar w:fldCharType="separate"/>
      </w:r>
      <w:r>
        <w:rPr>
          <w:rFonts w:hint="eastAsia" w:ascii="仿宋" w:hAnsi="仿宋" w:eastAsia="仿宋" w:cs="仿宋"/>
          <w:sz w:val="28"/>
          <w:szCs w:val="28"/>
        </w:rPr>
        <w:t>3.3营销管理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_Toc11548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5FAD671">
      <w:pPr>
        <w:pStyle w:val="9"/>
        <w:tabs>
          <w:tab w:val="right" w:leader="dot" w:pos="8306"/>
          <w:tab w:val="clear" w:pos="829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_Toc30880 </w:instrText>
      </w:r>
      <w:r>
        <w:rPr>
          <w:rFonts w:hint="eastAsia" w:ascii="仿宋" w:hAnsi="仿宋" w:eastAsia="仿宋" w:cs="仿宋"/>
          <w:sz w:val="28"/>
          <w:szCs w:val="28"/>
        </w:rPr>
        <w:fldChar w:fldCharType="separate"/>
      </w:r>
      <w:r>
        <w:rPr>
          <w:rFonts w:hint="eastAsia" w:ascii="仿宋" w:hAnsi="仿宋" w:eastAsia="仿宋" w:cs="仿宋"/>
          <w:sz w:val="28"/>
          <w:szCs w:val="28"/>
        </w:rPr>
        <w:t>第四章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质量管理基础</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_Toc30880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5B38A9F">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_Toc18623 </w:instrText>
      </w:r>
      <w:r>
        <w:rPr>
          <w:rFonts w:hint="eastAsia" w:ascii="仿宋" w:hAnsi="仿宋" w:eastAsia="仿宋" w:cs="仿宋"/>
          <w:sz w:val="28"/>
          <w:szCs w:val="28"/>
        </w:rPr>
        <w:fldChar w:fldCharType="separate"/>
      </w:r>
      <w:r>
        <w:rPr>
          <w:rFonts w:hint="eastAsia" w:ascii="仿宋" w:hAnsi="仿宋" w:eastAsia="仿宋" w:cs="仿宋"/>
          <w:sz w:val="28"/>
          <w:szCs w:val="28"/>
        </w:rPr>
        <w:t>4.1标准管理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_Toc18623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DEEA842">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_Toc7374 </w:instrText>
      </w:r>
      <w:r>
        <w:rPr>
          <w:rFonts w:hint="eastAsia" w:ascii="仿宋" w:hAnsi="仿宋" w:eastAsia="仿宋" w:cs="仿宋"/>
          <w:sz w:val="28"/>
          <w:szCs w:val="28"/>
        </w:rPr>
        <w:fldChar w:fldCharType="separate"/>
      </w:r>
      <w:r>
        <w:rPr>
          <w:rFonts w:hint="eastAsia" w:ascii="仿宋" w:hAnsi="仿宋" w:eastAsia="仿宋" w:cs="仿宋"/>
          <w:sz w:val="28"/>
          <w:szCs w:val="28"/>
        </w:rPr>
        <w:t>4.2计量标准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_Toc7374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752405C">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_Toc32270 </w:instrText>
      </w:r>
      <w:r>
        <w:rPr>
          <w:rFonts w:hint="eastAsia" w:ascii="仿宋" w:hAnsi="仿宋" w:eastAsia="仿宋" w:cs="仿宋"/>
          <w:sz w:val="28"/>
          <w:szCs w:val="28"/>
        </w:rPr>
        <w:fldChar w:fldCharType="separate"/>
      </w:r>
      <w:r>
        <w:rPr>
          <w:rFonts w:hint="eastAsia" w:ascii="仿宋" w:hAnsi="仿宋" w:eastAsia="仿宋" w:cs="仿宋"/>
          <w:sz w:val="28"/>
          <w:szCs w:val="28"/>
        </w:rPr>
        <w:t>4.3检验检测管理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_Toc32270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16D51FA">
      <w:pPr>
        <w:pStyle w:val="9"/>
        <w:tabs>
          <w:tab w:val="right" w:leader="dot" w:pos="8306"/>
          <w:tab w:val="clear" w:pos="829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_Toc497 </w:instrText>
      </w:r>
      <w:r>
        <w:rPr>
          <w:rFonts w:hint="eastAsia" w:ascii="仿宋" w:hAnsi="仿宋" w:eastAsia="仿宋" w:cs="仿宋"/>
          <w:sz w:val="28"/>
          <w:szCs w:val="28"/>
        </w:rPr>
        <w:fldChar w:fldCharType="separate"/>
      </w:r>
      <w:r>
        <w:rPr>
          <w:rFonts w:hint="eastAsia" w:ascii="仿宋" w:hAnsi="仿宋" w:eastAsia="仿宋" w:cs="仿宋"/>
          <w:sz w:val="28"/>
          <w:szCs w:val="28"/>
        </w:rPr>
        <w:t>第五章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产品质量责任</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_Toc497 \h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682A764">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_Toc32659 </w:instrText>
      </w:r>
      <w:r>
        <w:rPr>
          <w:rFonts w:hint="eastAsia" w:ascii="仿宋" w:hAnsi="仿宋" w:eastAsia="仿宋" w:cs="仿宋"/>
          <w:sz w:val="28"/>
          <w:szCs w:val="28"/>
        </w:rPr>
        <w:fldChar w:fldCharType="separate"/>
      </w:r>
      <w:r>
        <w:rPr>
          <w:rFonts w:hint="eastAsia" w:ascii="仿宋" w:hAnsi="仿宋" w:eastAsia="仿宋" w:cs="仿宋"/>
          <w:sz w:val="28"/>
          <w:szCs w:val="28"/>
        </w:rPr>
        <w:t>5.1产品质量责任</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_Toc32659 \h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CF0103B">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_Toc10816 </w:instrText>
      </w:r>
      <w:r>
        <w:rPr>
          <w:rFonts w:hint="eastAsia" w:ascii="仿宋" w:hAnsi="仿宋" w:eastAsia="仿宋" w:cs="仿宋"/>
          <w:sz w:val="28"/>
          <w:szCs w:val="28"/>
        </w:rPr>
        <w:fldChar w:fldCharType="separate"/>
      </w:r>
      <w:r>
        <w:rPr>
          <w:rFonts w:hint="eastAsia" w:ascii="仿宋" w:hAnsi="仿宋" w:eastAsia="仿宋" w:cs="仿宋"/>
          <w:sz w:val="28"/>
          <w:szCs w:val="28"/>
        </w:rPr>
        <w:t>5.3生产许可情况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_Toc10816 \h </w:instrText>
      </w:r>
      <w:r>
        <w:rPr>
          <w:rFonts w:hint="eastAsia" w:ascii="仿宋" w:hAnsi="仿宋" w:eastAsia="仿宋" w:cs="仿宋"/>
          <w:sz w:val="28"/>
          <w:szCs w:val="28"/>
        </w:rPr>
        <w:fldChar w:fldCharType="separate"/>
      </w:r>
      <w:r>
        <w:rPr>
          <w:rFonts w:hint="eastAsia" w:ascii="仿宋" w:hAnsi="仿宋" w:eastAsia="仿宋" w:cs="仿宋"/>
          <w:sz w:val="28"/>
          <w:szCs w:val="28"/>
        </w:rPr>
        <w:t>13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9BFAB37">
      <w:pPr>
        <w:pStyle w:val="9"/>
        <w:tabs>
          <w:tab w:val="right" w:leader="dot" w:pos="8306"/>
          <w:tab w:val="clear" w:pos="829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_Toc16684 </w:instrText>
      </w:r>
      <w:r>
        <w:rPr>
          <w:rFonts w:hint="eastAsia" w:ascii="仿宋" w:hAnsi="仿宋" w:eastAsia="仿宋" w:cs="仿宋"/>
          <w:sz w:val="28"/>
          <w:szCs w:val="28"/>
        </w:rPr>
        <w:fldChar w:fldCharType="separate"/>
      </w:r>
      <w:r>
        <w:rPr>
          <w:rFonts w:hint="eastAsia" w:ascii="仿宋" w:hAnsi="仿宋" w:eastAsia="仿宋" w:cs="仿宋"/>
          <w:sz w:val="28"/>
          <w:szCs w:val="28"/>
        </w:rPr>
        <w:t>第六章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质量风险管理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_Toc16684 \h </w:instrText>
      </w:r>
      <w:r>
        <w:rPr>
          <w:rFonts w:hint="eastAsia" w:ascii="仿宋" w:hAnsi="仿宋" w:eastAsia="仿宋" w:cs="仿宋"/>
          <w:sz w:val="28"/>
          <w:szCs w:val="28"/>
        </w:rPr>
        <w:fldChar w:fldCharType="separate"/>
      </w:r>
      <w:r>
        <w:rPr>
          <w:rFonts w:hint="eastAsia" w:ascii="仿宋" w:hAnsi="仿宋" w:eastAsia="仿宋" w:cs="仿宋"/>
          <w:sz w:val="28"/>
          <w:szCs w:val="28"/>
        </w:rPr>
        <w:t>14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D235907">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_Toc29314 </w:instrText>
      </w:r>
      <w:r>
        <w:rPr>
          <w:rFonts w:hint="eastAsia" w:ascii="仿宋" w:hAnsi="仿宋" w:eastAsia="仿宋" w:cs="仿宋"/>
          <w:sz w:val="28"/>
          <w:szCs w:val="28"/>
        </w:rPr>
        <w:fldChar w:fldCharType="separate"/>
      </w:r>
      <w:r>
        <w:rPr>
          <w:rFonts w:hint="eastAsia" w:ascii="仿宋" w:hAnsi="仿宋" w:eastAsia="仿宋" w:cs="仿宋"/>
          <w:sz w:val="28"/>
          <w:szCs w:val="28"/>
        </w:rPr>
        <w:t>6.1生产过程控制流程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_Toc29314 \h </w:instrText>
      </w:r>
      <w:r>
        <w:rPr>
          <w:rFonts w:hint="eastAsia" w:ascii="仿宋" w:hAnsi="仿宋" w:eastAsia="仿宋" w:cs="仿宋"/>
          <w:sz w:val="28"/>
          <w:szCs w:val="28"/>
        </w:rPr>
        <w:fldChar w:fldCharType="separate"/>
      </w:r>
      <w:r>
        <w:rPr>
          <w:rFonts w:hint="eastAsia" w:ascii="仿宋" w:hAnsi="仿宋" w:eastAsia="仿宋" w:cs="仿宋"/>
          <w:sz w:val="28"/>
          <w:szCs w:val="28"/>
        </w:rPr>
        <w:t>14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39835A8">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_Toc2912 </w:instrText>
      </w:r>
      <w:r>
        <w:rPr>
          <w:rFonts w:hint="eastAsia" w:ascii="仿宋" w:hAnsi="仿宋" w:eastAsia="仿宋" w:cs="仿宋"/>
          <w:sz w:val="28"/>
          <w:szCs w:val="28"/>
        </w:rPr>
        <w:fldChar w:fldCharType="separate"/>
      </w:r>
      <w:r>
        <w:rPr>
          <w:rFonts w:hint="eastAsia" w:ascii="仿宋" w:hAnsi="仿宋" w:eastAsia="仿宋" w:cs="仿宋"/>
          <w:sz w:val="28"/>
          <w:szCs w:val="28"/>
        </w:rPr>
        <w:t>6.2风险管理程序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_Toc2912 \h </w:instrText>
      </w:r>
      <w:r>
        <w:rPr>
          <w:rFonts w:hint="eastAsia" w:ascii="仿宋" w:hAnsi="仿宋" w:eastAsia="仿宋" w:cs="仿宋"/>
          <w:sz w:val="28"/>
          <w:szCs w:val="28"/>
        </w:rPr>
        <w:fldChar w:fldCharType="separate"/>
      </w:r>
      <w:r>
        <w:rPr>
          <w:rFonts w:hint="eastAsia" w:ascii="仿宋" w:hAnsi="仿宋" w:eastAsia="仿宋" w:cs="仿宋"/>
          <w:sz w:val="28"/>
          <w:szCs w:val="28"/>
        </w:rPr>
        <w:t>14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E6C3ECA">
      <w:pPr>
        <w:pStyle w:val="10"/>
        <w:tabs>
          <w:tab w:val="right" w:leader="dot" w:pos="830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_Toc19601 </w:instrText>
      </w:r>
      <w:r>
        <w:rPr>
          <w:rFonts w:hint="eastAsia" w:ascii="仿宋" w:hAnsi="仿宋" w:eastAsia="仿宋" w:cs="仿宋"/>
          <w:sz w:val="28"/>
          <w:szCs w:val="28"/>
        </w:rPr>
        <w:fldChar w:fldCharType="separate"/>
      </w:r>
      <w:r>
        <w:rPr>
          <w:rFonts w:hint="eastAsia" w:ascii="仿宋" w:hAnsi="仿宋" w:eastAsia="仿宋" w:cs="仿宋"/>
          <w:sz w:val="28"/>
          <w:szCs w:val="28"/>
        </w:rPr>
        <w:t>6.3质量安全应急预案</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_Toc19601 \h </w:instrText>
      </w:r>
      <w:r>
        <w:rPr>
          <w:rFonts w:hint="eastAsia" w:ascii="仿宋" w:hAnsi="仿宋" w:eastAsia="仿宋" w:cs="仿宋"/>
          <w:sz w:val="28"/>
          <w:szCs w:val="28"/>
        </w:rPr>
        <w:fldChar w:fldCharType="separate"/>
      </w:r>
      <w:r>
        <w:rPr>
          <w:rFonts w:hint="eastAsia" w:ascii="仿宋" w:hAnsi="仿宋" w:eastAsia="仿宋" w:cs="仿宋"/>
          <w:sz w:val="28"/>
          <w:szCs w:val="28"/>
        </w:rPr>
        <w:t>15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C6ABB42">
      <w:pPr>
        <w:pStyle w:val="9"/>
        <w:tabs>
          <w:tab w:val="right" w:leader="dot" w:pos="8306"/>
          <w:tab w:val="clear" w:pos="8296"/>
        </w:tabs>
        <w:spacing w:line="24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_Toc28238 </w:instrText>
      </w:r>
      <w:r>
        <w:rPr>
          <w:rFonts w:hint="eastAsia" w:ascii="仿宋" w:hAnsi="仿宋" w:eastAsia="仿宋" w:cs="仿宋"/>
          <w:sz w:val="28"/>
          <w:szCs w:val="28"/>
        </w:rPr>
        <w:fldChar w:fldCharType="separate"/>
      </w:r>
      <w:r>
        <w:rPr>
          <w:rFonts w:hint="eastAsia" w:ascii="仿宋" w:hAnsi="仿宋" w:eastAsia="仿宋" w:cs="仿宋"/>
          <w:bCs/>
          <w:sz w:val="28"/>
          <w:szCs w:val="28"/>
        </w:rPr>
        <w:t>结束语</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_Toc28238 \h </w:instrText>
      </w:r>
      <w:r>
        <w:rPr>
          <w:rFonts w:hint="eastAsia" w:ascii="仿宋" w:hAnsi="仿宋" w:eastAsia="仿宋" w:cs="仿宋"/>
          <w:sz w:val="28"/>
          <w:szCs w:val="28"/>
        </w:rPr>
        <w:fldChar w:fldCharType="separate"/>
      </w:r>
      <w:r>
        <w:rPr>
          <w:rFonts w:hint="eastAsia" w:ascii="仿宋" w:hAnsi="仿宋" w:eastAsia="仿宋" w:cs="仿宋"/>
          <w:sz w:val="28"/>
          <w:szCs w:val="28"/>
        </w:rPr>
        <w:t>17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65132E0">
      <w:pPr>
        <w:bidi w:val="0"/>
        <w:spacing w:line="240" w:lineRule="auto"/>
        <w:rPr>
          <w:rFonts w:hint="eastAsia" w:ascii="仿宋" w:hAnsi="仿宋" w:eastAsia="仿宋" w:cs="仿宋"/>
          <w:sz w:val="24"/>
          <w:szCs w:val="24"/>
        </w:rPr>
      </w:pPr>
      <w:r>
        <w:rPr>
          <w:rFonts w:hint="eastAsia" w:ascii="仿宋" w:hAnsi="仿宋" w:eastAsia="仿宋" w:cs="仿宋"/>
          <w:sz w:val="28"/>
          <w:szCs w:val="28"/>
        </w:rPr>
        <w:fldChar w:fldCharType="end"/>
      </w:r>
    </w:p>
    <w:p w14:paraId="233703C6">
      <w:pPr>
        <w:bidi w:val="0"/>
        <w:spacing w:line="360" w:lineRule="auto"/>
        <w:rPr>
          <w:rFonts w:hint="eastAsia" w:ascii="仿宋" w:hAnsi="仿宋" w:eastAsia="仿宋" w:cs="仿宋"/>
          <w:sz w:val="24"/>
          <w:szCs w:val="24"/>
        </w:rPr>
      </w:pPr>
    </w:p>
    <w:p w14:paraId="4740D3C3">
      <w:pPr>
        <w:bidi w:val="0"/>
        <w:spacing w:line="360" w:lineRule="auto"/>
        <w:rPr>
          <w:rFonts w:hint="eastAsia" w:ascii="仿宋" w:hAnsi="仿宋" w:eastAsia="仿宋" w:cs="仿宋"/>
          <w:sz w:val="24"/>
          <w:szCs w:val="24"/>
        </w:rPr>
        <w:sectPr>
          <w:headerReference r:id="rId11" w:type="default"/>
          <w:pgSz w:w="11906" w:h="16838"/>
          <w:pgMar w:top="1440" w:right="1800" w:bottom="1440" w:left="1800" w:header="851" w:footer="992" w:gutter="0"/>
          <w:cols w:space="425" w:num="1"/>
          <w:docGrid w:type="lines" w:linePitch="312" w:charSpace="0"/>
        </w:sectPr>
      </w:pPr>
    </w:p>
    <w:p w14:paraId="7BA43165">
      <w:pPr>
        <w:pStyle w:val="2"/>
        <w:bidi w:val="0"/>
        <w:jc w:val="center"/>
        <w:rPr>
          <w:rFonts w:hint="eastAsia" w:ascii="仿宋" w:hAnsi="仿宋" w:eastAsia="仿宋" w:cs="仿宋"/>
        </w:rPr>
      </w:pPr>
      <w:bookmarkStart w:id="2" w:name="_Toc84955491"/>
      <w:bookmarkStart w:id="3" w:name="_Toc20042"/>
      <w:bookmarkStart w:id="4" w:name="_Toc14224"/>
      <w:r>
        <w:rPr>
          <w:rFonts w:hint="eastAsia" w:ascii="仿宋" w:hAnsi="仿宋" w:eastAsia="仿宋" w:cs="仿宋"/>
        </w:rPr>
        <w:t>公司简介</w:t>
      </w:r>
      <w:bookmarkEnd w:id="2"/>
      <w:bookmarkEnd w:id="3"/>
      <w:bookmarkEnd w:id="4"/>
    </w:p>
    <w:p w14:paraId="755A594D">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杭州华佳标准件有限公司前身为杭州桐庐电力配件厂，位于风景秀丽的桐庐富春江畔，距杭州市区90公里。占地面积36000平方米，创建于1986年至今已有三十多年历史了，是专业生产紧固件和各种电力输电线路配件的制造商。产品执行GB/T5780—2000、DL/T284-2012等标准，并已通过ISO9001—2015质量管理体系认证、PCCC认证。产品畅销全国各省、市、自治区的电力部门和交通部门，同时还出口至尼日利亚、老挝、印尼、吉尔吉斯等国家，在1000kV张北-雄安、1000KV蒙西-天津、1000KV淮南-南京-上海、1000KV浙北福州、1000KV锡盟-胜利、1000KV锡盟-山东、1000kV蒙西-晋中、1000KV榆横-潍坊、1000kv山东环网特高压交流输变电工程，1100KV昌吉-古泉特、800kV青海-河南、800kV陕北-湖北、800KV上海庙-山东临沂、800kv酒泉-湖南、800kV锡盟～江苏泰州、800kV滇西北至广东、800KV扎鲁特—山东青州、750KV准北—乌北线等诸多国家重点工程得以广泛应用，并受到用户的一致好评。</w:t>
      </w:r>
    </w:p>
    <w:p w14:paraId="4D69313A">
      <w:pPr>
        <w:bidi w:val="0"/>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企业注册资金</w:t>
      </w:r>
      <w:r>
        <w:rPr>
          <w:rFonts w:hint="eastAsia" w:ascii="仿宋" w:hAnsi="仿宋" w:eastAsia="仿宋" w:cs="仿宋"/>
          <w:sz w:val="24"/>
          <w:szCs w:val="24"/>
          <w:lang w:val="en-US"/>
        </w:rPr>
        <w:t>2000</w:t>
      </w:r>
      <w:r>
        <w:rPr>
          <w:rFonts w:hint="eastAsia" w:ascii="仿宋" w:hAnsi="仿宋" w:eastAsia="仿宋" w:cs="仿宋"/>
          <w:sz w:val="24"/>
          <w:szCs w:val="24"/>
        </w:rPr>
        <w:t>万元，固定资产</w:t>
      </w:r>
      <w:r>
        <w:rPr>
          <w:rFonts w:hint="eastAsia" w:ascii="仿宋" w:hAnsi="仿宋" w:eastAsia="仿宋" w:cs="仿宋"/>
          <w:sz w:val="24"/>
          <w:szCs w:val="24"/>
          <w:lang w:val="en-US" w:eastAsia="zh-CN"/>
        </w:rPr>
        <w:t>60</w:t>
      </w:r>
      <w:r>
        <w:rPr>
          <w:rFonts w:hint="eastAsia" w:ascii="仿宋" w:hAnsi="仿宋" w:eastAsia="仿宋" w:cs="仿宋"/>
          <w:sz w:val="24"/>
          <w:szCs w:val="24"/>
          <w:lang w:val="en-US"/>
        </w:rPr>
        <w:t>00</w:t>
      </w:r>
      <w:r>
        <w:rPr>
          <w:rFonts w:hint="eastAsia" w:ascii="仿宋" w:hAnsi="仿宋" w:eastAsia="仿宋" w:cs="仿宋"/>
          <w:sz w:val="24"/>
          <w:szCs w:val="24"/>
        </w:rPr>
        <w:t>万元，</w:t>
      </w:r>
      <w:r>
        <w:rPr>
          <w:rFonts w:hint="eastAsia" w:ascii="仿宋" w:hAnsi="仿宋" w:eastAsia="仿宋" w:cs="仿宋"/>
          <w:sz w:val="24"/>
          <w:szCs w:val="24"/>
          <w:lang w:val="en-US" w:eastAsia="zh-CN"/>
        </w:rPr>
        <w:t>厂房建筑</w:t>
      </w:r>
      <w:r>
        <w:rPr>
          <w:rFonts w:hint="eastAsia" w:ascii="仿宋" w:hAnsi="仿宋" w:eastAsia="仿宋" w:cs="仿宋"/>
          <w:sz w:val="24"/>
          <w:szCs w:val="24"/>
        </w:rPr>
        <w:t>面积占</w:t>
      </w:r>
      <w:r>
        <w:rPr>
          <w:rFonts w:hint="eastAsia" w:ascii="仿宋" w:hAnsi="仿宋" w:eastAsia="仿宋" w:cs="仿宋"/>
          <w:sz w:val="24"/>
          <w:szCs w:val="24"/>
          <w:lang w:val="en-US" w:eastAsia="zh-CN"/>
        </w:rPr>
        <w:t>30</w:t>
      </w:r>
      <w:r>
        <w:rPr>
          <w:rFonts w:hint="eastAsia" w:ascii="仿宋" w:hAnsi="仿宋" w:eastAsia="仿宋" w:cs="仿宋"/>
          <w:sz w:val="24"/>
          <w:szCs w:val="24"/>
        </w:rPr>
        <w:t>000平方米，拥有各种类型的生产设备100余台（套），配有员工1</w:t>
      </w:r>
      <w:r>
        <w:rPr>
          <w:rFonts w:hint="eastAsia" w:ascii="仿宋" w:hAnsi="仿宋" w:eastAsia="仿宋" w:cs="仿宋"/>
          <w:sz w:val="24"/>
          <w:szCs w:val="24"/>
          <w:lang w:val="en-US" w:eastAsia="zh-CN"/>
        </w:rPr>
        <w:t>10</w:t>
      </w:r>
      <w:r>
        <w:rPr>
          <w:rFonts w:hint="eastAsia" w:ascii="仿宋" w:hAnsi="仿宋" w:eastAsia="仿宋" w:cs="仿宋"/>
          <w:sz w:val="24"/>
          <w:szCs w:val="24"/>
        </w:rPr>
        <w:t>人，其中各类专业技术人员</w:t>
      </w:r>
      <w:r>
        <w:rPr>
          <w:rFonts w:hint="eastAsia" w:ascii="仿宋" w:hAnsi="仿宋" w:eastAsia="仿宋" w:cs="仿宋"/>
          <w:sz w:val="24"/>
          <w:szCs w:val="24"/>
          <w:lang w:val="en-US" w:eastAsia="zh-CN"/>
        </w:rPr>
        <w:t>3</w:t>
      </w:r>
      <w:r>
        <w:rPr>
          <w:rFonts w:hint="eastAsia" w:ascii="仿宋" w:hAnsi="仿宋" w:eastAsia="仿宋" w:cs="仿宋"/>
          <w:sz w:val="24"/>
          <w:szCs w:val="24"/>
        </w:rPr>
        <w:t>0人，使企业生产能力具有年产量达18000吨以上。</w:t>
      </w:r>
      <w:r>
        <w:rPr>
          <w:rFonts w:hint="eastAsia" w:ascii="仿宋" w:hAnsi="仿宋" w:eastAsia="仿宋" w:cs="仿宋"/>
          <w:sz w:val="24"/>
          <w:szCs w:val="24"/>
          <w:lang w:eastAsia="zh-CN"/>
        </w:rPr>
        <w:t>目前原有厂房面积局限，不利于公司长远发展，今年启动厂房扩建项目，总投资</w:t>
      </w:r>
      <w:r>
        <w:rPr>
          <w:rFonts w:hint="eastAsia" w:ascii="仿宋" w:hAnsi="仿宋" w:eastAsia="仿宋" w:cs="仿宋"/>
          <w:sz w:val="24"/>
          <w:szCs w:val="24"/>
          <w:lang w:val="en-US" w:eastAsia="zh-CN"/>
        </w:rPr>
        <w:t>2488万，建筑面积约为5987.59平方。</w:t>
      </w:r>
    </w:p>
    <w:p w14:paraId="2A0DFFDC">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同时有完善的检测手段作护驾是产品质量有力保证。近几年来，公司始终坚持以ISO9001质量管理体系为指导，严格执行国家标准生产。从原材料的采购（采用沙钢、南钢、鞍钢、</w:t>
      </w:r>
      <w:r>
        <w:rPr>
          <w:rFonts w:hint="eastAsia" w:ascii="仿宋" w:hAnsi="仿宋" w:eastAsia="仿宋" w:cs="仿宋"/>
          <w:sz w:val="24"/>
          <w:szCs w:val="24"/>
          <w:lang w:val="en-US" w:eastAsia="zh-CN"/>
        </w:rPr>
        <w:t>杭钢</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元力</w:t>
      </w:r>
      <w:r>
        <w:rPr>
          <w:rFonts w:hint="eastAsia" w:ascii="仿宋" w:hAnsi="仿宋" w:eastAsia="仿宋" w:cs="仿宋"/>
          <w:sz w:val="24"/>
          <w:szCs w:val="24"/>
        </w:rPr>
        <w:t>等钢材）和检验、生产流程控制、产品检验检测、售后跟踪服务等各个方面进行系统的产品质量管理工作，不断提升产品质量、同时提升企业知名度。</w:t>
      </w:r>
    </w:p>
    <w:p w14:paraId="221974A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3F5C3A4D">
      <w:pPr>
        <w:pStyle w:val="2"/>
        <w:bidi w:val="0"/>
        <w:jc w:val="center"/>
        <w:rPr>
          <w:rFonts w:hint="eastAsia" w:ascii="仿宋" w:hAnsi="仿宋" w:eastAsia="仿宋" w:cs="仿宋"/>
        </w:rPr>
      </w:pPr>
      <w:bookmarkStart w:id="5" w:name="_Toc23285"/>
      <w:bookmarkStart w:id="6" w:name="_Toc84955492"/>
      <w:bookmarkStart w:id="7" w:name="_Toc7201"/>
      <w:r>
        <w:rPr>
          <w:rFonts w:hint="eastAsia" w:ascii="仿宋" w:hAnsi="仿宋" w:eastAsia="仿宋" w:cs="仿宋"/>
        </w:rPr>
        <w:t>第一章 质量理念</w:t>
      </w:r>
      <w:bookmarkEnd w:id="5"/>
      <w:bookmarkEnd w:id="6"/>
      <w:bookmarkEnd w:id="7"/>
    </w:p>
    <w:p w14:paraId="468D6ACE">
      <w:pPr>
        <w:pStyle w:val="3"/>
        <w:bidi w:val="0"/>
        <w:rPr>
          <w:rFonts w:hint="eastAsia" w:ascii="仿宋" w:hAnsi="仿宋" w:eastAsia="仿宋" w:cs="仿宋"/>
        </w:rPr>
      </w:pPr>
      <w:bookmarkStart w:id="8" w:name="_Toc28925"/>
      <w:bookmarkStart w:id="9" w:name="_Toc84955493"/>
      <w:r>
        <w:rPr>
          <w:rFonts w:hint="eastAsia" w:ascii="仿宋" w:hAnsi="仿宋" w:eastAsia="仿宋" w:cs="仿宋"/>
        </w:rPr>
        <w:t>1.1企业文化</w:t>
      </w:r>
      <w:bookmarkEnd w:id="8"/>
      <w:bookmarkEnd w:id="9"/>
    </w:p>
    <w:p w14:paraId="1B4F9DBF">
      <w:pPr>
        <w:bidi w:val="0"/>
        <w:spacing w:line="360" w:lineRule="auto"/>
        <w:rPr>
          <w:rFonts w:hint="eastAsia" w:ascii="仿宋" w:hAnsi="仿宋" w:eastAsia="仿宋" w:cs="仿宋"/>
          <w:sz w:val="24"/>
          <w:szCs w:val="24"/>
        </w:rPr>
      </w:pPr>
      <w:r>
        <w:rPr>
          <w:rFonts w:hint="eastAsia" w:ascii="仿宋" w:hAnsi="仿宋" w:eastAsia="仿宋" w:cs="仿宋"/>
          <w:sz w:val="24"/>
          <w:szCs w:val="24"/>
        </w:rPr>
        <w:t>1.1.1使命</w:t>
      </w:r>
    </w:p>
    <w:p w14:paraId="105ACC63">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以科技为动力，以质量求生存</w:t>
      </w:r>
    </w:p>
    <w:p w14:paraId="6324B2E9">
      <w:pPr>
        <w:bidi w:val="0"/>
        <w:spacing w:line="360" w:lineRule="auto"/>
        <w:rPr>
          <w:rFonts w:hint="eastAsia" w:ascii="仿宋" w:hAnsi="仿宋" w:eastAsia="仿宋" w:cs="仿宋"/>
          <w:sz w:val="24"/>
          <w:szCs w:val="24"/>
        </w:rPr>
      </w:pPr>
      <w:r>
        <w:rPr>
          <w:rFonts w:hint="eastAsia" w:ascii="仿宋" w:hAnsi="仿宋" w:eastAsia="仿宋" w:cs="仿宋"/>
          <w:sz w:val="24"/>
          <w:szCs w:val="24"/>
        </w:rPr>
        <w:t>1.1.2愿景</w:t>
      </w:r>
    </w:p>
    <w:p w14:paraId="0CACFAD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用双手开拓进取，用能力创造未来</w:t>
      </w:r>
    </w:p>
    <w:p w14:paraId="3C059A79">
      <w:pPr>
        <w:bidi w:val="0"/>
        <w:spacing w:line="360" w:lineRule="auto"/>
        <w:rPr>
          <w:rFonts w:hint="eastAsia" w:ascii="仿宋" w:hAnsi="仿宋" w:eastAsia="仿宋" w:cs="仿宋"/>
          <w:sz w:val="24"/>
          <w:szCs w:val="24"/>
        </w:rPr>
      </w:pPr>
      <w:r>
        <w:rPr>
          <w:rFonts w:hint="eastAsia" w:ascii="仿宋" w:hAnsi="仿宋" w:eastAsia="仿宋" w:cs="仿宋"/>
          <w:sz w:val="24"/>
          <w:szCs w:val="24"/>
        </w:rPr>
        <w:t>1.1.3核心价值观</w:t>
      </w:r>
    </w:p>
    <w:p w14:paraId="5A84B457">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梦想，创造，奋进，笃行</w:t>
      </w:r>
      <w:r>
        <w:rPr>
          <w:rFonts w:hint="eastAsia" w:ascii="仿宋" w:hAnsi="仿宋" w:eastAsia="仿宋" w:cs="仿宋"/>
          <w:sz w:val="24"/>
          <w:szCs w:val="24"/>
        </w:rPr>
        <w:cr/>
      </w:r>
      <w:r>
        <w:rPr>
          <w:rFonts w:hint="eastAsia" w:ascii="仿宋" w:hAnsi="仿宋" w:eastAsia="仿宋" w:cs="仿宋"/>
          <w:sz w:val="24"/>
          <w:szCs w:val="24"/>
        </w:rPr>
        <w:t>1.1.</w:t>
      </w:r>
      <w:r>
        <w:rPr>
          <w:rFonts w:hint="eastAsia" w:ascii="仿宋" w:hAnsi="仿宋" w:eastAsia="仿宋" w:cs="仿宋"/>
          <w:sz w:val="24"/>
          <w:szCs w:val="24"/>
          <w:lang w:val="en-US" w:eastAsia="zh-CN"/>
        </w:rPr>
        <w:t>4</w:t>
      </w:r>
      <w:r>
        <w:rPr>
          <w:rFonts w:hint="eastAsia" w:ascii="仿宋" w:hAnsi="仿宋" w:eastAsia="仿宋" w:cs="仿宋"/>
          <w:sz w:val="24"/>
          <w:szCs w:val="24"/>
        </w:rPr>
        <w:t>质量、环境、职业健康安全方针</w:t>
      </w:r>
    </w:p>
    <w:p w14:paraId="64E70117">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质量方针：顾客满意是我公司永远的追求，精益求精是我公司兴旺的源泉，优质低耗是我公司最高的目标，持续改进是我公司发展的动力。</w:t>
      </w:r>
    </w:p>
    <w:p w14:paraId="5780BC07">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环境方针：绿色循环、节能减排、遵规守法，预防为主。</w:t>
      </w:r>
    </w:p>
    <w:p w14:paraId="29D90D40">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职业健康安全方针：以人为本，持续改进，健康至上、安全第一。</w:t>
      </w:r>
    </w:p>
    <w:p w14:paraId="7B075C52">
      <w:pPr>
        <w:pStyle w:val="3"/>
        <w:bidi w:val="0"/>
        <w:rPr>
          <w:rFonts w:hint="eastAsia" w:ascii="仿宋" w:hAnsi="仿宋" w:eastAsia="仿宋" w:cs="仿宋"/>
        </w:rPr>
      </w:pPr>
      <w:bookmarkStart w:id="10" w:name="_Toc22956"/>
      <w:bookmarkStart w:id="11" w:name="_Toc84955494"/>
      <w:r>
        <w:rPr>
          <w:rFonts w:hint="eastAsia" w:ascii="仿宋" w:hAnsi="仿宋" w:eastAsia="仿宋" w:cs="仿宋"/>
        </w:rPr>
        <w:t>1.2企业质量诚信方针</w:t>
      </w:r>
      <w:bookmarkEnd w:id="10"/>
      <w:bookmarkEnd w:id="11"/>
    </w:p>
    <w:p w14:paraId="115ED24A">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质量为本，诚信第一</w:t>
      </w:r>
      <w:r>
        <w:rPr>
          <w:rFonts w:hint="eastAsia" w:ascii="仿宋" w:hAnsi="仿宋" w:eastAsia="仿宋" w:cs="仿宋"/>
          <w:sz w:val="24"/>
          <w:szCs w:val="24"/>
        </w:rPr>
        <w:br w:type="page"/>
      </w:r>
    </w:p>
    <w:p w14:paraId="2EBE6AAC">
      <w:pPr>
        <w:pStyle w:val="2"/>
        <w:bidi w:val="0"/>
        <w:jc w:val="center"/>
        <w:rPr>
          <w:rFonts w:hint="eastAsia" w:ascii="仿宋" w:hAnsi="仿宋" w:eastAsia="仿宋" w:cs="仿宋"/>
        </w:rPr>
      </w:pPr>
      <w:bookmarkStart w:id="12" w:name="_Toc25186"/>
      <w:bookmarkStart w:id="13" w:name="_Toc23814"/>
      <w:bookmarkStart w:id="14" w:name="_Toc84955495"/>
      <w:r>
        <w:rPr>
          <w:rFonts w:hint="eastAsia" w:ascii="仿宋" w:hAnsi="仿宋" w:eastAsia="仿宋" w:cs="仿宋"/>
        </w:rPr>
        <w:t>第二章内部质量管理</w:t>
      </w:r>
      <w:bookmarkEnd w:id="12"/>
      <w:bookmarkEnd w:id="13"/>
      <w:bookmarkEnd w:id="14"/>
    </w:p>
    <w:p w14:paraId="6720686C">
      <w:pPr>
        <w:pStyle w:val="3"/>
        <w:bidi w:val="0"/>
        <w:rPr>
          <w:rFonts w:hint="eastAsia" w:ascii="仿宋" w:hAnsi="仿宋" w:eastAsia="仿宋" w:cs="仿宋"/>
        </w:rPr>
      </w:pPr>
      <w:bookmarkStart w:id="15" w:name="_Toc84955496"/>
      <w:bookmarkStart w:id="16" w:name="_Toc309"/>
      <w:r>
        <w:rPr>
          <w:rFonts w:hint="eastAsia" w:ascii="仿宋" w:hAnsi="仿宋" w:eastAsia="仿宋" w:cs="仿宋"/>
        </w:rPr>
        <w:t>2.1质量管理机构</w:t>
      </w:r>
      <w:bookmarkEnd w:id="15"/>
      <w:bookmarkEnd w:id="16"/>
    </w:p>
    <w:p w14:paraId="31406525">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为使质量诚信管理体系正常运转，公司在组织机构上进行合理的划分，人员实施优化组合，由总经理担任公司质量诚信管理总负责人，全面负责公司的各项日常管理工作，品质部经理负责公司产品质量把控。</w:t>
      </w:r>
    </w:p>
    <w:p w14:paraId="70606E05">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设立办公室、供销科、生技科、质管科、财务科等5个职能科室，明确了各部门及相应管理人员的职责，共同完成公司的质量诚信管理工作，保证质量诚信管理体系的有效运行和持续改进，从而实现质量诚信目标。</w:t>
      </w:r>
    </w:p>
    <w:p w14:paraId="6A17B0FA">
      <w:pPr>
        <w:bidi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5270500" cy="1862455"/>
            <wp:effectExtent l="0" t="0" r="6350" b="4445"/>
            <wp:docPr id="2" name="图片 2" descr="未命名文件(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未命名文件(140)"/>
                    <pic:cNvPicPr>
                      <a:picLocks noChangeAspect="1"/>
                    </pic:cNvPicPr>
                  </pic:nvPicPr>
                  <pic:blipFill>
                    <a:blip r:embed="rId15"/>
                    <a:stretch>
                      <a:fillRect/>
                    </a:stretch>
                  </pic:blipFill>
                  <pic:spPr>
                    <a:xfrm>
                      <a:off x="0" y="0"/>
                      <a:ext cx="5270500" cy="1862455"/>
                    </a:xfrm>
                    <a:prstGeom prst="rect">
                      <a:avLst/>
                    </a:prstGeom>
                  </pic:spPr>
                </pic:pic>
              </a:graphicData>
            </a:graphic>
          </wp:inline>
        </w:drawing>
      </w:r>
    </w:p>
    <w:p w14:paraId="6AFBB604">
      <w:pPr>
        <w:bidi w:val="0"/>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图</w:t>
      </w:r>
      <w:r>
        <w:rPr>
          <w:rFonts w:hint="eastAsia" w:ascii="仿宋" w:hAnsi="仿宋" w:eastAsia="仿宋" w:cs="仿宋"/>
          <w:b/>
          <w:bCs/>
          <w:sz w:val="24"/>
          <w:szCs w:val="24"/>
          <w:lang w:val="en-US" w:eastAsia="zh-CN"/>
        </w:rPr>
        <w:t>2.1-1</w:t>
      </w:r>
      <w:r>
        <w:rPr>
          <w:rFonts w:hint="eastAsia" w:ascii="仿宋" w:hAnsi="仿宋" w:eastAsia="仿宋" w:cs="仿宋"/>
          <w:b/>
          <w:bCs/>
          <w:sz w:val="24"/>
          <w:szCs w:val="24"/>
        </w:rPr>
        <w:t xml:space="preserve"> 质量管理机构</w:t>
      </w:r>
    </w:p>
    <w:p w14:paraId="1F059921">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为建立健全适应本企业实际的质量管理体系，扎实有效地落实管理产品生产中的各项工作，确保产品质量管理体系有效运行，保障产品质量以及顾客的合法权益。本公司严格把控产品检测，具体规定质管科的具体职责：制定公司质量管理目标及实施方案，全面负责公司产品质量考核、客户投诉管理工作，对产品所需物料的进料检验、过程检验、成品检验及出货检验负责。</w:t>
      </w:r>
    </w:p>
    <w:p w14:paraId="49406E46">
      <w:pPr>
        <w:pStyle w:val="3"/>
        <w:bidi w:val="0"/>
        <w:rPr>
          <w:rFonts w:hint="eastAsia" w:ascii="仿宋" w:hAnsi="仿宋" w:eastAsia="仿宋" w:cs="仿宋"/>
        </w:rPr>
      </w:pPr>
      <w:bookmarkStart w:id="17" w:name="_Toc84955497"/>
      <w:bookmarkStart w:id="18" w:name="_Toc5799"/>
      <w:r>
        <w:rPr>
          <w:rFonts w:hint="eastAsia" w:ascii="仿宋" w:hAnsi="仿宋" w:eastAsia="仿宋" w:cs="仿宋"/>
        </w:rPr>
        <w:t>2.2质量管理体系</w:t>
      </w:r>
      <w:bookmarkEnd w:id="17"/>
      <w:bookmarkEnd w:id="18"/>
    </w:p>
    <w:p w14:paraId="1844181C">
      <w:pPr>
        <w:bidi w:val="0"/>
        <w:spacing w:line="360" w:lineRule="auto"/>
        <w:rPr>
          <w:rFonts w:hint="eastAsia" w:ascii="仿宋" w:hAnsi="仿宋" w:eastAsia="仿宋" w:cs="仿宋"/>
          <w:sz w:val="24"/>
          <w:szCs w:val="24"/>
        </w:rPr>
      </w:pPr>
      <w:r>
        <w:rPr>
          <w:rFonts w:hint="eastAsia" w:ascii="仿宋" w:hAnsi="仿宋" w:eastAsia="仿宋" w:cs="仿宋"/>
          <w:sz w:val="24"/>
          <w:szCs w:val="24"/>
        </w:rPr>
        <w:t>2.2.1质量方针与目标</w:t>
      </w:r>
    </w:p>
    <w:p w14:paraId="1FA3FF4C">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始终贯彻以质量求生存，以质量谋发展，以质量树品牌，要求全员参与，严把质量关，不断强化产品质量管理和质量保证。以市场为导向，以可靠的产品质量为基础，立足国内，面向国际，积极参与国内国际市场竞争，在竞争中赢得客户的信赖。提出了公司的质量目标：顾客满意度：88%，每年提高0.2%；成品一次受检合格率达到99.5%；材料质量损耗率达到4.2%以下；扩大市场，每年新增用户至少一个。</w:t>
      </w:r>
    </w:p>
    <w:p w14:paraId="6A5166D0">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公司按照ISO 9001:2015《质量管理体系要求》的标准要求建立了质量管理体系，形成文件，加以保持和实施，并持续改进其有效性。针对影响产品符合要求的过程，通过质量管理体系的控制以确保实现过程的有效控制。公司制定了《产品的监视和测量控制程序》、《不合格品控制程序》、《纠正措施和持续改进控制程序》、《内部质量管理体系审核程序》、《管理评审控制程序》实现持续改进质量管理体系的有效性。各部门按照程序要求，建立公司内、部自我发现问题，改进质量管理体系的机制。</w:t>
      </w:r>
    </w:p>
    <w:p w14:paraId="11416CAE">
      <w:pPr>
        <w:bidi w:val="0"/>
        <w:spacing w:line="360" w:lineRule="auto"/>
        <w:rPr>
          <w:rFonts w:hint="eastAsia" w:ascii="仿宋" w:hAnsi="仿宋" w:eastAsia="仿宋" w:cs="仿宋"/>
          <w:sz w:val="24"/>
          <w:szCs w:val="24"/>
        </w:rPr>
      </w:pPr>
      <w:r>
        <w:rPr>
          <w:rFonts w:hint="eastAsia" w:ascii="仿宋" w:hAnsi="仿宋" w:eastAsia="仿宋" w:cs="仿宋"/>
          <w:sz w:val="24"/>
          <w:szCs w:val="24"/>
        </w:rPr>
        <w:t>2.2.2员工的质量教育</w:t>
      </w:r>
    </w:p>
    <w:p w14:paraId="4239BEDA">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在体系运行过程中，公司运用各种科学、有效的方法，测量、分析、改进，基于PDCA的系统方法，不断持续改善。公司运用多种工具，改进各部门、各层次的绩效，并采用标杆对比和学习的方式，不断修正个人工作思路和方式，确保实现个人和公司整体目标。公司积极与外部进行沟通交流，适时邀请专家对公司员工进行专项培训。公司定期对各级员工开展质量教育，对质量控制点进行专项管理，确保制造过程产品质量的一致性。</w:t>
      </w:r>
    </w:p>
    <w:p w14:paraId="06835F5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为牢固树立全体员工的诚信意识，公司每年年初制定本年度的质量诚信教育培训计划。实行三级质量诚信教育培训。由公司组织一级教育工作。各部门负责人部根据公司要求，编制教育培训计划和内容，认真组织下属的教育培训。各车间主任负责班组长及员工的诚信宣传教育工作。公司通过专题培训、书面文字进行张贴或传达、质量诚信先进员工经验交流、利用开会前后、利用图片展示等多种方式对企业员工实施质量诚信教育。公司对在质量诚信教育培训中成绩优异的人员给予一定的奖励，通过培训后在工作岗位上起着模范带头或成绩突出的员工也给予一定奖励，同时在员工中宣传和推广经验。对不按时参加质量诚信教育培训或未通过培训考核的员工，给予一定的处罚。</w:t>
      </w:r>
    </w:p>
    <w:p w14:paraId="7736AAAE">
      <w:pPr>
        <w:bidi w:val="0"/>
        <w:spacing w:line="360" w:lineRule="auto"/>
        <w:rPr>
          <w:rFonts w:hint="eastAsia" w:ascii="仿宋" w:hAnsi="仿宋" w:eastAsia="仿宋" w:cs="仿宋"/>
          <w:sz w:val="24"/>
          <w:szCs w:val="24"/>
        </w:rPr>
      </w:pPr>
      <w:r>
        <w:rPr>
          <w:rFonts w:hint="eastAsia" w:ascii="仿宋" w:hAnsi="仿宋" w:eastAsia="仿宋" w:cs="仿宋"/>
          <w:sz w:val="24"/>
          <w:szCs w:val="24"/>
        </w:rPr>
        <w:t>2.2.3法律法规及责任制度</w:t>
      </w:r>
    </w:p>
    <w:p w14:paraId="4DE69ACE">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股东大会下设监事会，监事会依据《公司法》等国家法律法规，制定了《公司章程》，规定了董事会、公司高层管理人员的权利、责任、义务与决策、经营、监督相互制衡的机制。由董事会决定的执行总裁作为公司法人代表全权负责公司运营，并按《公司章程》规定向董事会报告重大事项；按照公司《政务公开暂行条例》，通过工会对公司的发展目标、分配、用工、领导廉洁自律等十余项内容，按照规定的程序、途径实施定期公开，以监督公司高层领导的决策决议和廉洁勤政的情况，并接受上级单位的监督和考核。同时，公司制定了《质量考核管理办法》等管理办法，对产品质量问题进行责罚，遵循对质量事故不放过原则。</w:t>
      </w:r>
    </w:p>
    <w:p w14:paraId="45FA8549">
      <w:pPr>
        <w:bidi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表</w:t>
      </w:r>
      <w:r>
        <w:rPr>
          <w:rFonts w:hint="eastAsia" w:ascii="仿宋" w:hAnsi="仿宋" w:eastAsia="仿宋" w:cs="仿宋"/>
          <w:sz w:val="24"/>
          <w:szCs w:val="24"/>
          <w:lang w:val="en-US" w:eastAsia="zh-CN"/>
        </w:rPr>
        <w:t>2.2</w:t>
      </w:r>
      <w:r>
        <w:rPr>
          <w:rFonts w:hint="eastAsia" w:ascii="仿宋" w:hAnsi="仿宋" w:eastAsia="仿宋" w:cs="仿宋"/>
          <w:sz w:val="24"/>
          <w:szCs w:val="24"/>
        </w:rPr>
        <w:t>-1所遵守的质量标准和其他相关法律</w:t>
      </w:r>
    </w:p>
    <w:tbl>
      <w:tblPr>
        <w:tblStyle w:val="12"/>
        <w:tblW w:w="4998" w:type="pct"/>
        <w:tblInd w:w="0" w:type="dxa"/>
        <w:tblBorders>
          <w:top w:val="thinThickSmallGap" w:color="1F4E79" w:themeColor="accent1" w:themeShade="80" w:sz="24" w:space="0"/>
          <w:left w:val="thinThickSmallGap" w:color="1F4E79" w:themeColor="accent1" w:themeShade="80" w:sz="24" w:space="0"/>
          <w:bottom w:val="thinThickSmallGap" w:color="1F4E79" w:themeColor="accent1" w:themeShade="80" w:sz="24" w:space="0"/>
          <w:right w:val="thinThickSmallGap" w:color="1F4E79" w:themeColor="accent1" w:themeShade="80" w:sz="24" w:space="0"/>
          <w:insideH w:val="single" w:color="1F497D" w:sz="4" w:space="0"/>
          <w:insideV w:val="single" w:color="1F497D" w:sz="4" w:space="0"/>
        </w:tblBorders>
        <w:tblLayout w:type="autofit"/>
        <w:tblCellMar>
          <w:top w:w="0" w:type="dxa"/>
          <w:left w:w="108" w:type="dxa"/>
          <w:bottom w:w="0" w:type="dxa"/>
          <w:right w:w="108" w:type="dxa"/>
        </w:tblCellMar>
      </w:tblPr>
      <w:tblGrid>
        <w:gridCol w:w="1568"/>
        <w:gridCol w:w="6951"/>
      </w:tblGrid>
      <w:tr w14:paraId="1A839445">
        <w:tblPrEx>
          <w:tblBorders>
            <w:top w:val="thinThickSmallGap" w:color="1F4E79" w:themeColor="accent1" w:themeShade="80" w:sz="24" w:space="0"/>
            <w:left w:val="thinThickSmallGap" w:color="1F4E79" w:themeColor="accent1" w:themeShade="80" w:sz="24" w:space="0"/>
            <w:bottom w:val="thinThickSmallGap" w:color="1F4E79" w:themeColor="accent1" w:themeShade="80" w:sz="24" w:space="0"/>
            <w:right w:val="thinThickSmallGap" w:color="1F4E79" w:themeColor="accent1" w:themeShade="80" w:sz="24" w:space="0"/>
            <w:insideH w:val="single" w:color="1F497D" w:sz="4" w:space="0"/>
            <w:insideV w:val="single" w:color="1F497D" w:sz="4" w:space="0"/>
          </w:tblBorders>
          <w:tblCellMar>
            <w:top w:w="0" w:type="dxa"/>
            <w:left w:w="108" w:type="dxa"/>
            <w:bottom w:w="0" w:type="dxa"/>
            <w:right w:w="108" w:type="dxa"/>
          </w:tblCellMar>
        </w:tblPrEx>
        <w:trPr>
          <w:trHeight w:val="291" w:hRule="atLeast"/>
          <w:tblHeader/>
        </w:trPr>
        <w:tc>
          <w:tcPr>
            <w:tcW w:w="920" w:type="pct"/>
            <w:tcBorders>
              <w:top w:val="single" w:color="5B9BD5" w:sz="12" w:space="0"/>
              <w:left w:val="single" w:color="5B9BD5" w:sz="12" w:space="0"/>
              <w:bottom w:val="single" w:color="5B9BD5" w:sz="4" w:space="0"/>
              <w:right w:val="single" w:color="5B9BD5" w:sz="4" w:space="0"/>
              <w:tl2br w:val="nil"/>
            </w:tcBorders>
            <w:shd w:val="clear" w:color="auto" w:fill="9CC4E6"/>
          </w:tcPr>
          <w:p w14:paraId="394E126F">
            <w:pPr>
              <w:bidi w:val="0"/>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类别</w:t>
            </w:r>
          </w:p>
        </w:tc>
        <w:tc>
          <w:tcPr>
            <w:tcW w:w="4079" w:type="pct"/>
            <w:tcBorders>
              <w:top w:val="single" w:color="5B9BD5" w:sz="12" w:space="0"/>
              <w:left w:val="single" w:color="5B9BD5" w:sz="4" w:space="0"/>
              <w:bottom w:val="single" w:color="5B9BD5" w:sz="4" w:space="0"/>
              <w:right w:val="single" w:color="5B9BD5" w:sz="12" w:space="0"/>
            </w:tcBorders>
            <w:shd w:val="clear" w:color="auto" w:fill="9CC4E6"/>
          </w:tcPr>
          <w:p w14:paraId="4111369F">
            <w:pPr>
              <w:bidi w:val="0"/>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内容</w:t>
            </w:r>
          </w:p>
        </w:tc>
      </w:tr>
      <w:tr w14:paraId="616A75A3">
        <w:tblPrEx>
          <w:tblBorders>
            <w:top w:val="thinThickSmallGap" w:color="1F4E79" w:themeColor="accent1" w:themeShade="80" w:sz="24" w:space="0"/>
            <w:left w:val="thinThickSmallGap" w:color="1F4E79" w:themeColor="accent1" w:themeShade="80" w:sz="24" w:space="0"/>
            <w:bottom w:val="thinThickSmallGap" w:color="1F4E79" w:themeColor="accent1" w:themeShade="80" w:sz="24" w:space="0"/>
            <w:right w:val="thinThickSmallGap" w:color="1F4E79" w:themeColor="accent1" w:themeShade="80" w:sz="24" w:space="0"/>
            <w:insideH w:val="single" w:color="1F497D" w:sz="4" w:space="0"/>
            <w:insideV w:val="single" w:color="1F497D" w:sz="4" w:space="0"/>
          </w:tblBorders>
          <w:tblCellMar>
            <w:top w:w="0" w:type="dxa"/>
            <w:left w:w="108" w:type="dxa"/>
            <w:bottom w:w="0" w:type="dxa"/>
            <w:right w:w="108" w:type="dxa"/>
          </w:tblCellMar>
        </w:tblPrEx>
        <w:trPr>
          <w:trHeight w:val="266" w:hRule="atLeast"/>
        </w:trPr>
        <w:tc>
          <w:tcPr>
            <w:tcW w:w="920" w:type="pct"/>
            <w:tcBorders>
              <w:top w:val="single" w:color="5B9BD5" w:sz="4" w:space="0"/>
              <w:left w:val="single" w:color="5B9BD5" w:sz="12" w:space="0"/>
              <w:bottom w:val="single" w:color="5B9BD5" w:sz="4" w:space="0"/>
              <w:right w:val="single" w:color="5B9BD5" w:sz="4" w:space="0"/>
            </w:tcBorders>
            <w:shd w:val="clear" w:color="auto" w:fill="FFFFFF"/>
            <w:vAlign w:val="center"/>
          </w:tcPr>
          <w:p w14:paraId="26965BE0">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一般类</w:t>
            </w:r>
          </w:p>
        </w:tc>
        <w:tc>
          <w:tcPr>
            <w:tcW w:w="4079" w:type="pct"/>
            <w:tcBorders>
              <w:top w:val="single" w:color="5B9BD5" w:sz="4" w:space="0"/>
              <w:left w:val="single" w:color="5B9BD5" w:sz="4" w:space="0"/>
              <w:bottom w:val="single" w:color="5B9BD5" w:sz="4" w:space="0"/>
              <w:right w:val="single" w:color="5B9BD5" w:sz="12" w:space="0"/>
            </w:tcBorders>
            <w:shd w:val="clear" w:color="auto" w:fill="FFFFFF"/>
          </w:tcPr>
          <w:p w14:paraId="6DA39C51">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《公司法》、《商标法》、《专利法》、《会计法》、《产品质量法》、《安全生产法》、《会计准则》、《公司登记条例》、《标准化法》、《计量法》等</w:t>
            </w:r>
          </w:p>
        </w:tc>
      </w:tr>
      <w:tr w14:paraId="2F3E4747">
        <w:tblPrEx>
          <w:tblBorders>
            <w:top w:val="thinThickSmallGap" w:color="1F4E79" w:themeColor="accent1" w:themeShade="80" w:sz="24" w:space="0"/>
            <w:left w:val="thinThickSmallGap" w:color="1F4E79" w:themeColor="accent1" w:themeShade="80" w:sz="24" w:space="0"/>
            <w:bottom w:val="thinThickSmallGap" w:color="1F4E79" w:themeColor="accent1" w:themeShade="80" w:sz="24" w:space="0"/>
            <w:right w:val="thinThickSmallGap" w:color="1F4E79" w:themeColor="accent1" w:themeShade="80" w:sz="24" w:space="0"/>
            <w:insideH w:val="single" w:color="1F497D" w:sz="4" w:space="0"/>
            <w:insideV w:val="single" w:color="1F497D" w:sz="4" w:space="0"/>
          </w:tblBorders>
          <w:tblCellMar>
            <w:top w:w="0" w:type="dxa"/>
            <w:left w:w="108" w:type="dxa"/>
            <w:bottom w:w="0" w:type="dxa"/>
            <w:right w:w="108" w:type="dxa"/>
          </w:tblCellMar>
        </w:tblPrEx>
        <w:trPr>
          <w:trHeight w:val="683" w:hRule="atLeast"/>
        </w:trPr>
        <w:tc>
          <w:tcPr>
            <w:tcW w:w="920" w:type="pct"/>
            <w:tcBorders>
              <w:top w:val="single" w:color="5B9BD5" w:sz="4" w:space="0"/>
              <w:left w:val="single" w:color="5B9BD5" w:sz="12" w:space="0"/>
              <w:bottom w:val="single" w:color="5B9BD5" w:sz="4" w:space="0"/>
              <w:right w:val="single" w:color="5B9BD5" w:sz="4" w:space="0"/>
            </w:tcBorders>
            <w:shd w:val="clear" w:color="auto" w:fill="FFFFFF"/>
            <w:vAlign w:val="center"/>
          </w:tcPr>
          <w:p w14:paraId="20876F8E">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管理体系类</w:t>
            </w:r>
          </w:p>
        </w:tc>
        <w:tc>
          <w:tcPr>
            <w:tcW w:w="4079" w:type="pct"/>
            <w:tcBorders>
              <w:top w:val="single" w:color="5B9BD5" w:sz="4" w:space="0"/>
              <w:left w:val="single" w:color="5B9BD5" w:sz="4" w:space="0"/>
              <w:bottom w:val="single" w:color="5B9BD5" w:sz="4" w:space="0"/>
              <w:right w:val="single" w:color="5B9BD5" w:sz="12" w:space="0"/>
            </w:tcBorders>
            <w:shd w:val="clear" w:color="auto" w:fill="FFFFFF"/>
          </w:tcPr>
          <w:p w14:paraId="554B4C06">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《质量管理体系》（GB/T 19001-2016）</w:t>
            </w:r>
          </w:p>
          <w:p w14:paraId="0082B327">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《环境管理体系》（GB/T 24001-2016）</w:t>
            </w:r>
          </w:p>
          <w:p w14:paraId="22C6ED87">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《职业健康安全管理体系》（GB/T 45001-2020）</w:t>
            </w:r>
          </w:p>
          <w:p w14:paraId="7DE94E4E">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《卓越绩效体系》（GB/T 19580-2012）</w:t>
            </w:r>
          </w:p>
          <w:p w14:paraId="3920E233">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《企业质量诚信管理实施规范》（GB/T 29467）</w:t>
            </w:r>
          </w:p>
        </w:tc>
      </w:tr>
      <w:tr w14:paraId="321B4326">
        <w:tblPrEx>
          <w:tblBorders>
            <w:top w:val="thinThickSmallGap" w:color="1F4E79" w:themeColor="accent1" w:themeShade="80" w:sz="24" w:space="0"/>
            <w:left w:val="thinThickSmallGap" w:color="1F4E79" w:themeColor="accent1" w:themeShade="80" w:sz="24" w:space="0"/>
            <w:bottom w:val="thinThickSmallGap" w:color="1F4E79" w:themeColor="accent1" w:themeShade="80" w:sz="24" w:space="0"/>
            <w:right w:val="thinThickSmallGap" w:color="1F4E79" w:themeColor="accent1" w:themeShade="80" w:sz="24" w:space="0"/>
            <w:insideH w:val="single" w:color="1F497D" w:sz="4" w:space="0"/>
            <w:insideV w:val="single" w:color="1F497D" w:sz="4" w:space="0"/>
          </w:tblBorders>
          <w:tblCellMar>
            <w:top w:w="0" w:type="dxa"/>
            <w:left w:w="108" w:type="dxa"/>
            <w:bottom w:w="0" w:type="dxa"/>
            <w:right w:w="108" w:type="dxa"/>
          </w:tblCellMar>
        </w:tblPrEx>
        <w:trPr>
          <w:trHeight w:val="614" w:hRule="atLeast"/>
        </w:trPr>
        <w:tc>
          <w:tcPr>
            <w:tcW w:w="920" w:type="pct"/>
            <w:tcBorders>
              <w:top w:val="single" w:color="5B9BD5" w:sz="4" w:space="0"/>
              <w:left w:val="single" w:color="5B9BD5" w:sz="12" w:space="0"/>
              <w:bottom w:val="single" w:color="5B9BD5" w:sz="4" w:space="0"/>
              <w:right w:val="single" w:color="5B9BD5" w:sz="4" w:space="0"/>
            </w:tcBorders>
            <w:shd w:val="clear" w:color="auto" w:fill="FFFFFF"/>
            <w:vAlign w:val="center"/>
          </w:tcPr>
          <w:p w14:paraId="04D5584F">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产品标准类</w:t>
            </w:r>
          </w:p>
        </w:tc>
        <w:tc>
          <w:tcPr>
            <w:tcW w:w="4079" w:type="pct"/>
            <w:tcBorders>
              <w:top w:val="single" w:color="5B9BD5" w:sz="4" w:space="0"/>
              <w:left w:val="single" w:color="5B9BD5" w:sz="4" w:space="0"/>
              <w:bottom w:val="single" w:color="5B9BD5" w:sz="4" w:space="0"/>
              <w:right w:val="single" w:color="5B9BD5" w:sz="12" w:space="0"/>
            </w:tcBorders>
            <w:shd w:val="clear" w:color="auto" w:fill="FFFFFF"/>
            <w:vAlign w:val="center"/>
          </w:tcPr>
          <w:p w14:paraId="1172D095">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GB/T 5780—2000《六角头螺栓 C级》</w:t>
            </w:r>
          </w:p>
          <w:p w14:paraId="3523D40B">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DL/T 284-2012《输电线路杆塔及电力金具用热浸镀锌螺栓与螺母》</w:t>
            </w:r>
          </w:p>
          <w:p w14:paraId="76CE878B">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T/ZZB 0345-2018《电力线路用热浸镀锌螺栓、螺母和垫圈》</w:t>
            </w:r>
          </w:p>
        </w:tc>
      </w:tr>
      <w:tr w14:paraId="039427F7">
        <w:tblPrEx>
          <w:tblBorders>
            <w:top w:val="thinThickSmallGap" w:color="1F4E79" w:themeColor="accent1" w:themeShade="80" w:sz="24" w:space="0"/>
            <w:left w:val="thinThickSmallGap" w:color="1F4E79" w:themeColor="accent1" w:themeShade="80" w:sz="24" w:space="0"/>
            <w:bottom w:val="thinThickSmallGap" w:color="1F4E79" w:themeColor="accent1" w:themeShade="80" w:sz="24" w:space="0"/>
            <w:right w:val="thinThickSmallGap" w:color="1F4E79" w:themeColor="accent1" w:themeShade="80" w:sz="24" w:space="0"/>
            <w:insideH w:val="single" w:color="1F497D" w:sz="4" w:space="0"/>
            <w:insideV w:val="single" w:color="1F497D" w:sz="4" w:space="0"/>
          </w:tblBorders>
          <w:tblCellMar>
            <w:top w:w="0" w:type="dxa"/>
            <w:left w:w="108" w:type="dxa"/>
            <w:bottom w:w="0" w:type="dxa"/>
            <w:right w:w="108" w:type="dxa"/>
          </w:tblCellMar>
        </w:tblPrEx>
        <w:trPr>
          <w:trHeight w:val="626" w:hRule="atLeast"/>
        </w:trPr>
        <w:tc>
          <w:tcPr>
            <w:tcW w:w="920" w:type="pct"/>
            <w:tcBorders>
              <w:top w:val="single" w:color="5B9BD5" w:sz="4" w:space="0"/>
              <w:left w:val="single" w:color="5B9BD5" w:sz="12" w:space="0"/>
              <w:bottom w:val="single" w:color="5B9BD5" w:sz="12" w:space="0"/>
              <w:right w:val="single" w:color="5B9BD5" w:sz="4" w:space="0"/>
            </w:tcBorders>
            <w:shd w:val="clear" w:color="auto" w:fill="FFFFFF"/>
            <w:vAlign w:val="center"/>
          </w:tcPr>
          <w:p w14:paraId="18353F87">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员工权益保障与社会责任类</w:t>
            </w:r>
          </w:p>
        </w:tc>
        <w:tc>
          <w:tcPr>
            <w:tcW w:w="4079" w:type="pct"/>
            <w:tcBorders>
              <w:top w:val="single" w:color="5B9BD5" w:sz="4" w:space="0"/>
              <w:left w:val="single" w:color="5B9BD5" w:sz="4" w:space="0"/>
              <w:bottom w:val="single" w:color="5B9BD5" w:sz="12" w:space="0"/>
              <w:right w:val="single" w:color="5B9BD5" w:sz="12" w:space="0"/>
            </w:tcBorders>
            <w:shd w:val="clear" w:color="auto" w:fill="FFFFFF"/>
          </w:tcPr>
          <w:p w14:paraId="26ED434B">
            <w:pPr>
              <w:bidi w:val="0"/>
              <w:spacing w:line="36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《环境保护法》、《节约能源法》、《工会法》、《劳动合同法》、《安全生产法》、《职业病防治法》等</w:t>
            </w:r>
          </w:p>
        </w:tc>
      </w:tr>
    </w:tbl>
    <w:p w14:paraId="02ED1827">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制定了《内部质量管理体系审核程序》、《管理评审控制程序》，并培养内审员团队。为确保体系运行的有效性和持续改进，安排内审、过程审核和质量稽查，对于审核中发现的不符合项，由责任部门分析原因，制定纠正或预防措施，落实整改，并验证整改效果，最终形成内部审核报告，对体系的整改及不符合项的预防提出建议，并作为管理评审的一个重要输入，报告最高管理者。</w:t>
      </w:r>
    </w:p>
    <w:p w14:paraId="6CB8BE4D">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制定了《生产过程控制程序》、《不合格品控制程序》等技术文件，对不合格品进行了严格管控。公司所有的产品都经过严格检验，合格后方可流入下道工序或出厂。任何不合格产品均有明确的标识、记录、隔离和处理等要求，各种不合格产品返工、返修后必须经过重新检验合格后才能进入下道工序。</w:t>
      </w:r>
    </w:p>
    <w:p w14:paraId="40EC0AEB">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同时对于所有出现的不合格，均有详细记录，并由专人进行统计分析后，由责任部门依据《不合格品控制程序》制定纠正预防措施并进行整改，评估纠正预防措施有效之后方能关闭问题项。</w:t>
      </w:r>
    </w:p>
    <w:p w14:paraId="23DA6F80">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此外，公司还制定了《管理手册》和《质量考核制度》，对出现的质量问题进行问责和教育，并在日常研发、生产作业中，强调系统化，通过QC小组、持续改善等活动及质量工具的展开，充分应用PDCA循环，持续改善，追求卓越。</w:t>
      </w:r>
    </w:p>
    <w:p w14:paraId="7D103BC3">
      <w:pPr>
        <w:bidi w:val="0"/>
        <w:spacing w:line="360" w:lineRule="auto"/>
        <w:rPr>
          <w:rFonts w:hint="eastAsia" w:ascii="仿宋" w:hAnsi="仿宋" w:eastAsia="仿宋" w:cs="仿宋"/>
          <w:sz w:val="24"/>
          <w:szCs w:val="24"/>
        </w:rPr>
        <w:sectPr>
          <w:footerReference r:id="rId12" w:type="default"/>
          <w:pgSz w:w="11906" w:h="16838"/>
          <w:pgMar w:top="1440" w:right="1800" w:bottom="1440" w:left="1800" w:header="851" w:footer="992" w:gutter="0"/>
          <w:pgNumType w:fmt="decimal" w:start="1"/>
          <w:cols w:space="425" w:num="1"/>
          <w:docGrid w:type="lines" w:linePitch="312" w:charSpace="0"/>
        </w:sectPr>
      </w:pPr>
    </w:p>
    <w:p w14:paraId="17F4265A">
      <w:pPr>
        <w:pStyle w:val="2"/>
        <w:bidi w:val="0"/>
        <w:jc w:val="center"/>
        <w:rPr>
          <w:rFonts w:hint="eastAsia" w:ascii="仿宋" w:hAnsi="仿宋" w:eastAsia="仿宋" w:cs="仿宋"/>
        </w:rPr>
      </w:pPr>
      <w:bookmarkStart w:id="19" w:name="_Toc27207"/>
      <w:bookmarkStart w:id="20" w:name="_Toc22336"/>
      <w:bookmarkStart w:id="21" w:name="_Toc84955498"/>
      <w:r>
        <w:rPr>
          <w:rFonts w:hint="eastAsia" w:ascii="仿宋" w:hAnsi="仿宋" w:eastAsia="仿宋" w:cs="仿宋"/>
        </w:rPr>
        <w:t>第三章</w:t>
      </w:r>
      <w:r>
        <w:rPr>
          <w:rFonts w:hint="eastAsia" w:ascii="仿宋" w:hAnsi="仿宋" w:eastAsia="仿宋" w:cs="仿宋"/>
          <w:lang w:val="en-US" w:eastAsia="zh-CN"/>
        </w:rPr>
        <w:t xml:space="preserve"> </w:t>
      </w:r>
      <w:r>
        <w:rPr>
          <w:rFonts w:hint="eastAsia" w:ascii="仿宋" w:hAnsi="仿宋" w:eastAsia="仿宋" w:cs="仿宋"/>
        </w:rPr>
        <w:t>质量诚信管理</w:t>
      </w:r>
      <w:bookmarkEnd w:id="19"/>
      <w:bookmarkEnd w:id="20"/>
      <w:bookmarkEnd w:id="21"/>
    </w:p>
    <w:p w14:paraId="75B0F0F7">
      <w:pPr>
        <w:pStyle w:val="3"/>
        <w:bidi w:val="0"/>
        <w:rPr>
          <w:rFonts w:hint="eastAsia" w:ascii="仿宋" w:hAnsi="仿宋" w:eastAsia="仿宋" w:cs="仿宋"/>
        </w:rPr>
      </w:pPr>
      <w:bookmarkStart w:id="22" w:name="_Toc84955499"/>
      <w:bookmarkStart w:id="23" w:name="_Toc9649"/>
      <w:r>
        <w:rPr>
          <w:rFonts w:hint="eastAsia" w:ascii="仿宋" w:hAnsi="仿宋" w:eastAsia="仿宋" w:cs="仿宋"/>
        </w:rPr>
        <w:t>3.1质量承诺</w:t>
      </w:r>
      <w:bookmarkEnd w:id="22"/>
      <w:bookmarkEnd w:id="23"/>
    </w:p>
    <w:p w14:paraId="70F6597D">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1）诚信守法</w:t>
      </w:r>
    </w:p>
    <w:p w14:paraId="7DACCDCE">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彻落实国家颁布的《环境保护法》、《安全生产法》、《产品质量法》等法律法规。同时，公司还加强廉政、法纪教育，完善公司治理结构，制定了各类内部管理制度。公司还发布了员工行为规范，聘请法律顾问及政府政法部门领导对员工进行相关法律、法规知识教育培训，以增强员工法律意识，教育员工守法、懂法、用法、护法，自觉维护企业各项合法权益。</w:t>
      </w:r>
    </w:p>
    <w:p w14:paraId="26EE6D3B">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恪守以诚信经营为核心的商业道德规范，与外部环境建立了和睦的共同发展关系。在业务往来中，通过协议条款涵盖公司的诚信准则，严格遵守合同，公开服务承诺监督，服务不到位及时赔偿客户损失等各种方式来接受相关方监督并影响经销商、供应商、公众等。</w:t>
      </w:r>
    </w:p>
    <w:p w14:paraId="2881EB61">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2）满足客户需求</w:t>
      </w:r>
    </w:p>
    <w:p w14:paraId="2B27AEAA">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公司着力于产品的持续技术创新，以客户需求为中心，积极听取客户关于功能、质量、配置等方面的意见和建议，开展产品改进和创新活动，满足客户对产品和交期的需求。在产品质量方面，公司严格执行ISO 9001质量管理体系，通过开展技术攻关、质量改进、QC小组等活动，保障产品质量安全。</w:t>
      </w:r>
    </w:p>
    <w:p w14:paraId="7A70AD1E">
      <w:pPr>
        <w:bidi w:val="0"/>
        <w:spacing w:line="360" w:lineRule="auto"/>
        <w:ind w:firstLine="480" w:firstLineChars="200"/>
        <w:rPr>
          <w:rFonts w:hint="eastAsia" w:ascii="仿宋" w:hAnsi="仿宋" w:eastAsia="仿宋" w:cs="仿宋"/>
          <w:sz w:val="24"/>
          <w:szCs w:val="24"/>
        </w:rPr>
      </w:pPr>
      <w:bookmarkStart w:id="24" w:name="_Toc84955500"/>
      <w:r>
        <w:rPr>
          <w:rFonts w:hint="eastAsia" w:ascii="仿宋" w:hAnsi="仿宋" w:eastAsia="仿宋" w:cs="仿宋"/>
          <w:sz w:val="24"/>
          <w:szCs w:val="24"/>
        </w:rPr>
        <w:t>企业已通过ISO9001—2015质量管理体系认证、PCCC认证。产品畅销全国各省、市、自治区的电力部门和交通部门，同时还出口至尼日利亚、老挝、印尼、吉尔吉斯等国家，在1000kV张北-雄安、1000KV蒙西-天津、1000KV淮南-南京-上海、1000KV浙北福州、1000KV锡盟-胜利、1000KV锡盟-山东、1000kV蒙西-晋中、1000KV榆横-潍坊、1000kv山东环网特高压交流输变电工程，1100KV昌吉-古泉特、800kV青海-河南、800kV陕北-湖北、800KV上海庙-山东临沂、800kv酒泉-湖南、800kV锡盟～江苏泰州、800kV滇西北至广东、800KV扎鲁特—山东青州、750KV准北—乌北线等诸多国家重点工程得以广泛应用，并受到用户的一致好评。</w:t>
      </w:r>
    </w:p>
    <w:p w14:paraId="6A978E2B">
      <w:pPr>
        <w:pStyle w:val="3"/>
        <w:bidi w:val="0"/>
        <w:rPr>
          <w:rFonts w:hint="eastAsia" w:ascii="仿宋" w:hAnsi="仿宋" w:eastAsia="仿宋" w:cs="仿宋"/>
        </w:rPr>
      </w:pPr>
      <w:bookmarkStart w:id="25" w:name="_Toc14848"/>
      <w:r>
        <w:rPr>
          <w:rFonts w:hint="eastAsia" w:ascii="仿宋" w:hAnsi="仿宋" w:eastAsia="仿宋" w:cs="仿宋"/>
        </w:rPr>
        <w:t>3.2运作管理</w:t>
      </w:r>
      <w:bookmarkEnd w:id="24"/>
      <w:bookmarkEnd w:id="25"/>
    </w:p>
    <w:p w14:paraId="4BB19EF1">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1）产品设计诚信管理</w:t>
      </w:r>
    </w:p>
    <w:p w14:paraId="3FFE08B4">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公司产品设计与研发严格依照《设计和开发控制程序》，从研发立项、过程各类活动记录、开发过程总结、管理考评控制研发相关的整个过程。</w:t>
      </w:r>
    </w:p>
    <w:p w14:paraId="4212A49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2）原材料采购诚信管理</w:t>
      </w:r>
    </w:p>
    <w:p w14:paraId="2B813A4A">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企业根据物料对产品质量的风险程度，将物料分为A、B、C三类。对A类物料供应商，除了必须符合法定的资质外，还要定期进行现场评审。对B、C类物料的供应商，企业首先要对该种物料进行风险分析，视供应商提供物料的质量情况决定是否需进行现场审计。企业对物料供应商进行资质审核及现场审核后，如符合要求同意购进的物料供应商应当建立质量档案。对采购的原材料批批全检，凡未达到规定标准的原材料一律不得入库是使用。</w:t>
      </w:r>
    </w:p>
    <w:p w14:paraId="5374A28F">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在原材料采购方面，对供应商的相关资质进行严格审查。在采购设备和零部件时，能够使用标准件的一律采购和使用标准件；需特殊加工的，需对使用效果进行充分验证，确保达到我公司要求。所有设备在使用前必须经过设备验证，确保符合产品工艺要求。</w:t>
      </w:r>
    </w:p>
    <w:p w14:paraId="58D9CF15">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3）生产过程诚信管理</w:t>
      </w:r>
    </w:p>
    <w:p w14:paraId="067DDBBF">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公司制定并逐步完善各种生产管理制度、岗位说明书和安全操作工程。质管科负责各种检验规程的编制、</w:t>
      </w:r>
      <w:r>
        <w:rPr>
          <w:rFonts w:hint="eastAsia" w:ascii="仿宋" w:hAnsi="仿宋" w:eastAsia="仿宋" w:cs="仿宋"/>
          <w:sz w:val="24"/>
          <w:szCs w:val="24"/>
          <w:lang w:eastAsia="zh-CN"/>
        </w:rPr>
        <w:t>生技科</w:t>
      </w:r>
      <w:r>
        <w:rPr>
          <w:rFonts w:hint="eastAsia" w:ascii="仿宋" w:hAnsi="仿宋" w:eastAsia="仿宋" w:cs="仿宋"/>
          <w:sz w:val="24"/>
          <w:szCs w:val="24"/>
        </w:rPr>
        <w:t>具体负责各品种技术管理工作，制定并逐步完善了各种岗位操作规程和各类工艺规程。质管科负责具体原辅材料、半成品及成品的检验。</w:t>
      </w:r>
      <w:r>
        <w:rPr>
          <w:rFonts w:hint="eastAsia" w:ascii="仿宋" w:hAnsi="仿宋" w:eastAsia="仿宋" w:cs="仿宋"/>
          <w:sz w:val="24"/>
          <w:szCs w:val="24"/>
          <w:lang w:eastAsia="zh-CN"/>
        </w:rPr>
        <w:t>生技科</w:t>
      </w:r>
      <w:r>
        <w:rPr>
          <w:rFonts w:hint="eastAsia" w:ascii="仿宋" w:hAnsi="仿宋" w:eastAsia="仿宋" w:cs="仿宋"/>
          <w:sz w:val="24"/>
          <w:szCs w:val="24"/>
        </w:rPr>
        <w:t>负责采用车间集中培训和班前、班后会对各岗位操作人员进行全面的岗位技能培训，并采用多种方式进行稽查、考核，增强员工质量意识，提高操作水平，在生产过程中，各级管理人员严格履行管理职责，及时检查，及时纠正差错，保证生产秩序的稳定。</w:t>
      </w:r>
    </w:p>
    <w:p w14:paraId="5F92642C">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对生产所需的原料、辅料、包装材料进行投料前复核，把好中间产品、成品的质量关，严格执行“不生产不合格品，不接收不合格品，不流转不合格品”的“三不原则”，关键工序设质量控制点，督促员工做好自检、互检，执行监控核查规程，严格批记录的管理规程，做到领用、发放和核对相统一。对每一生产步骤进行物料平衡，保证物料的投入和产品的产出数量与工艺要求相一致，确认无潜在质量隐患，符合注册要求。</w:t>
      </w:r>
    </w:p>
    <w:p w14:paraId="03B2DDE8">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根据行业特点及实际情况，加强生产过程的信息化建设水平，在应用ERP系统的生产管理模块对整个过程进行数据采集和监控外，还专门在装配车间建立信息塔服务系统，对公司整个生产过程实行系统化管理。并挖掘内部潜力，发挥技术骨干人员的力量，开展对现有设备进行持续性改造或科技创新工作，成立技术攻关小组，对薄弱环节进行技术攻关；生产员工上岗前要经过培训及考核，建立全员培训档案，通过集中培训、班前会培训、“传、帮、带”、目视化等多种方式进行培训，强化其工作技能和质量意识。生产员工严格遵守车间纪律。</w:t>
      </w:r>
    </w:p>
    <w:p w14:paraId="3219820F">
      <w:pPr>
        <w:pStyle w:val="3"/>
        <w:bidi w:val="0"/>
        <w:rPr>
          <w:rFonts w:hint="eastAsia" w:ascii="仿宋" w:hAnsi="仿宋" w:eastAsia="仿宋" w:cs="仿宋"/>
        </w:rPr>
      </w:pPr>
      <w:bookmarkStart w:id="26" w:name="_Toc84955501"/>
      <w:bookmarkStart w:id="27" w:name="_Toc11548"/>
      <w:r>
        <w:rPr>
          <w:rFonts w:hint="eastAsia" w:ascii="仿宋" w:hAnsi="仿宋" w:eastAsia="仿宋" w:cs="仿宋"/>
        </w:rPr>
        <w:t>3.3营销管理</w:t>
      </w:r>
      <w:bookmarkEnd w:id="26"/>
      <w:bookmarkEnd w:id="27"/>
    </w:p>
    <w:p w14:paraId="6105853B">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华佳根据战略要求，对市场进行细分，以提高资源和运作的有效性和针对性。公司将顾客分为战略客户、重要客户、普通客户三类。针对不同类型顾客确定顾客的需求与期望，针对其需求与期望来确定适当的方法，建立相应的体系与团队，建立各种渠道和方法，针对性的进行顾客需求与期望的了解。</w:t>
      </w:r>
    </w:p>
    <w:p w14:paraId="4790A72B">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公司通过展览会、参加同行业会议、公共媒体、互联网、外部机构等渠道，以问卷调查、面对面或电话访谈等方法，了解客户的需求和期望。</w:t>
      </w:r>
    </w:p>
    <w:p w14:paraId="6BE68D71">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各部门定期搜集顾客信息，解析后确定的顾客需求信息按照不同细分市场进行分类梳理总结，形成不同顾客群的需求与期望数据库，并从中归纳出针对不同细分市场顾客群总体需求特点的汇总资料，以供产品经营规划、产品开发设计、过程控制等决策时参考。</w:t>
      </w:r>
    </w:p>
    <w:p w14:paraId="6BD25E18">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树立“以客户需求为导向”的服务理念，要求业务人员对于任何一位客户，不论他下单与否，都要做到热情、周到，都要尽量满足他们的所有合理需求。制订了《与顾客有关的过程控制程序》等文件，从各方面增加业务人员的技能和素质，提升了顾客成交率。</w:t>
      </w:r>
    </w:p>
    <w:p w14:paraId="2D98CD0D">
      <w:pPr>
        <w:bidi w:val="0"/>
        <w:spacing w:line="360" w:lineRule="auto"/>
        <w:rPr>
          <w:rFonts w:hint="eastAsia" w:ascii="仿宋" w:hAnsi="仿宋" w:eastAsia="仿宋" w:cs="仿宋"/>
          <w:sz w:val="24"/>
          <w:szCs w:val="24"/>
        </w:rPr>
      </w:pPr>
      <w:r>
        <w:rPr>
          <w:rFonts w:hint="eastAsia" w:ascii="仿宋" w:hAnsi="仿宋" w:eastAsia="仿宋" w:cs="仿宋"/>
          <w:sz w:val="24"/>
          <w:szCs w:val="24"/>
        </w:rPr>
        <w:t>公</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司建立及时反馈处理用户投诉意见的快速反应机制，如产品质量有异议的，在</w:t>
      </w:r>
      <w:r>
        <w:rPr>
          <w:rFonts w:hint="eastAsia" w:ascii="仿宋" w:hAnsi="仿宋" w:eastAsia="仿宋" w:cs="仿宋"/>
          <w:sz w:val="24"/>
          <w:szCs w:val="24"/>
          <w:lang w:val="en-US" w:eastAsia="zh-CN"/>
        </w:rPr>
        <w:t>2</w:t>
      </w:r>
      <w:r>
        <w:rPr>
          <w:rFonts w:hint="eastAsia" w:ascii="仿宋" w:hAnsi="仿宋" w:eastAsia="仿宋" w:cs="仿宋"/>
          <w:sz w:val="24"/>
          <w:szCs w:val="24"/>
        </w:rPr>
        <w:t>4小时内做出处理响应，及时为用户提供服务和解决方案。</w:t>
      </w:r>
      <w:r>
        <w:rPr>
          <w:rFonts w:hint="eastAsia" w:ascii="仿宋" w:hAnsi="仿宋" w:eastAsia="仿宋" w:cs="仿宋"/>
          <w:sz w:val="24"/>
          <w:szCs w:val="24"/>
          <w:lang w:val="en-US" w:eastAsia="zh-CN"/>
        </w:rPr>
        <w:t>并</w:t>
      </w:r>
      <w:r>
        <w:rPr>
          <w:rFonts w:hint="eastAsia" w:ascii="仿宋" w:hAnsi="仿宋" w:eastAsia="仿宋" w:cs="仿宋"/>
          <w:sz w:val="24"/>
          <w:szCs w:val="24"/>
        </w:rPr>
        <w:t>按GB/T 90.3的规定建立质量信息追溯系统，并保存追溯质量记录不少于10年。产品出厂后，质保期为 2 年。在质保期内，发生产品质量问题，应为客户无偿提供更换产品。</w:t>
      </w:r>
      <w:r>
        <w:rPr>
          <w:rFonts w:hint="eastAsia" w:ascii="仿宋" w:hAnsi="仿宋" w:eastAsia="仿宋" w:cs="仿宋"/>
          <w:sz w:val="24"/>
          <w:szCs w:val="24"/>
        </w:rPr>
        <w:br w:type="page"/>
      </w:r>
    </w:p>
    <w:p w14:paraId="7EA484B5">
      <w:pPr>
        <w:pStyle w:val="2"/>
        <w:bidi w:val="0"/>
        <w:jc w:val="center"/>
        <w:rPr>
          <w:rFonts w:hint="eastAsia" w:ascii="仿宋" w:hAnsi="仿宋" w:eastAsia="仿宋" w:cs="仿宋"/>
        </w:rPr>
      </w:pPr>
      <w:bookmarkStart w:id="28" w:name="_Toc30880"/>
      <w:bookmarkStart w:id="29" w:name="_Toc23782"/>
      <w:bookmarkStart w:id="30" w:name="_Toc84955502"/>
      <w:r>
        <w:rPr>
          <w:rFonts w:hint="eastAsia" w:ascii="仿宋" w:hAnsi="仿宋" w:eastAsia="仿宋" w:cs="仿宋"/>
        </w:rPr>
        <w:t>第四章</w:t>
      </w:r>
      <w:r>
        <w:rPr>
          <w:rFonts w:hint="eastAsia" w:ascii="仿宋" w:hAnsi="仿宋" w:eastAsia="仿宋" w:cs="仿宋"/>
          <w:lang w:val="en-US" w:eastAsia="zh-CN"/>
        </w:rPr>
        <w:t xml:space="preserve"> </w:t>
      </w:r>
      <w:r>
        <w:rPr>
          <w:rFonts w:hint="eastAsia" w:ascii="仿宋" w:hAnsi="仿宋" w:eastAsia="仿宋" w:cs="仿宋"/>
        </w:rPr>
        <w:t>质量管理基础</w:t>
      </w:r>
      <w:bookmarkEnd w:id="28"/>
      <w:bookmarkEnd w:id="29"/>
      <w:bookmarkEnd w:id="30"/>
    </w:p>
    <w:p w14:paraId="44729E91">
      <w:pPr>
        <w:pStyle w:val="3"/>
        <w:bidi w:val="0"/>
        <w:rPr>
          <w:rFonts w:hint="eastAsia" w:ascii="仿宋" w:hAnsi="仿宋" w:eastAsia="仿宋" w:cs="仿宋"/>
        </w:rPr>
      </w:pPr>
      <w:bookmarkStart w:id="31" w:name="_Toc84955503"/>
      <w:bookmarkStart w:id="32" w:name="_Toc18623"/>
      <w:r>
        <w:rPr>
          <w:rFonts w:hint="eastAsia" w:ascii="仿宋" w:hAnsi="仿宋" w:eastAsia="仿宋" w:cs="仿宋"/>
        </w:rPr>
        <w:t>4.1标准管理</w:t>
      </w:r>
      <w:bookmarkEnd w:id="31"/>
      <w:bookmarkEnd w:id="32"/>
    </w:p>
    <w:p w14:paraId="5AC73E83">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公司严格按照ISO 9001质量管理体系要求进行品质管理、生产过程控制与出厂品质控制。公司将企业标准化贯穿于生产全过程，从原辅材料、包装材料的采购、半成品、成品检验等各个环节，均制定了相关检验规程。从而使产品从原辅材料进厂到成品出厂的整个生产过程都处于标准化规范管理之中，对稳定产品质量、提高企业管理水平奠定了良好的基础。同时，以项目管理方式进行产品开发，提高了产品开发效率，确保产品质量。</w:t>
      </w:r>
    </w:p>
    <w:p w14:paraId="1652EC79">
      <w:pPr>
        <w:pStyle w:val="3"/>
        <w:bidi w:val="0"/>
        <w:rPr>
          <w:rFonts w:hint="eastAsia" w:ascii="仿宋" w:hAnsi="仿宋" w:eastAsia="仿宋" w:cs="仿宋"/>
        </w:rPr>
      </w:pPr>
      <w:bookmarkStart w:id="33" w:name="_Toc84955504"/>
      <w:bookmarkStart w:id="34" w:name="_Toc7374"/>
      <w:r>
        <w:rPr>
          <w:rFonts w:hint="eastAsia" w:ascii="仿宋" w:hAnsi="仿宋" w:eastAsia="仿宋" w:cs="仿宋"/>
        </w:rPr>
        <w:t>4.2计量标准</w:t>
      </w:r>
      <w:bookmarkEnd w:id="33"/>
      <w:bookmarkEnd w:id="34"/>
    </w:p>
    <w:p w14:paraId="03689D91">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严格执行《中华人民共和国计量法》等文件法规，从原材料采购、过程管理、生产设备、检验设备、工序检验、成品检验等环节建立了一整套管理文件和控制方法。公司制定了《监视和测量设备控制程序》，对检验、测量和试验设备进行有效的控制、校准和维护，确保设备的测量精度和准确性满足规定的使用要求。</w:t>
      </w:r>
    </w:p>
    <w:p w14:paraId="333C7BC4">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为确保产品质量，在产品生产工艺中严格过程控制，对生产工艺过程中的原辅材料等加强计量管理，确保计量设备的正常运行和计量的准确性。</w:t>
      </w:r>
    </w:p>
    <w:p w14:paraId="23BFEF2F">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质管科根据测量器具的规定周期，制定年度计量仪器设备校准检定周期表，并负责在规定周期内，将公司内使用的监视和测量设备进行校准或送检。所有监视和测量资源必须按规定周期或使用前按国家承认的基准到国家法定的计量检定机构进行检定。校准和调整超过检定周期或使用前未校准的监视和测量设备一律不得使用。无国家检定规程校准的监视和测量资源，由质管科根据监视和测量资源的性能、特点，制定校准规程，经执行总裁批准后执行校准。</w:t>
      </w:r>
    </w:p>
    <w:p w14:paraId="527DD2ED">
      <w:pPr>
        <w:pStyle w:val="3"/>
        <w:bidi w:val="0"/>
        <w:rPr>
          <w:rFonts w:hint="eastAsia" w:ascii="仿宋" w:hAnsi="仿宋" w:eastAsia="仿宋" w:cs="仿宋"/>
        </w:rPr>
      </w:pPr>
      <w:bookmarkStart w:id="35" w:name="_Toc84955505"/>
      <w:bookmarkStart w:id="36" w:name="_Toc32270"/>
      <w:r>
        <w:rPr>
          <w:rFonts w:hint="eastAsia" w:ascii="仿宋" w:hAnsi="仿宋" w:eastAsia="仿宋" w:cs="仿宋"/>
        </w:rPr>
        <w:t>4.3检验检测管理</w:t>
      </w:r>
      <w:bookmarkEnd w:id="35"/>
      <w:bookmarkEnd w:id="36"/>
    </w:p>
    <w:p w14:paraId="34506DC6">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通过对进货的检验与试验，以保证供应商提供的物资符合规定的要求。质管科负责编制进货检验与试验规程，负责物资进货的抽检；供销科负责不合格物资处置，仓库负责点收物资的进货数量、名称和数量等。</w:t>
      </w:r>
    </w:p>
    <w:p w14:paraId="70D06E86">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为保证所有产品在生产过程中都通过规定的检验后才能进入下一道工序，公司制定《不合格品控制程序》、《进料检验规范》、《制程检验规范》和《成品检验规程》，开展严格的过程检验和试验。质管科负责制订过程及最终检验和试验规程，设立最终检验的检验点，并负责组织过程检验工作；检验员负责检验点的检查、半成品、成品的检验；各生产线操作工负责自检工作。</w:t>
      </w:r>
    </w:p>
    <w:p w14:paraId="4A6A2440">
      <w:pPr>
        <w:bidi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表4</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-1公司主要检测设备</w:t>
      </w:r>
    </w:p>
    <w:tbl>
      <w:tblPr>
        <w:tblStyle w:val="12"/>
        <w:tblW w:w="5000" w:type="pct"/>
        <w:tblInd w:w="0" w:type="dxa"/>
        <w:tblLayout w:type="fixed"/>
        <w:tblCellMar>
          <w:top w:w="0" w:type="dxa"/>
          <w:left w:w="108" w:type="dxa"/>
          <w:bottom w:w="0" w:type="dxa"/>
          <w:right w:w="108" w:type="dxa"/>
        </w:tblCellMar>
      </w:tblPr>
      <w:tblGrid>
        <w:gridCol w:w="612"/>
        <w:gridCol w:w="958"/>
        <w:gridCol w:w="2144"/>
        <w:gridCol w:w="829"/>
        <w:gridCol w:w="918"/>
        <w:gridCol w:w="2321"/>
        <w:gridCol w:w="740"/>
      </w:tblGrid>
      <w:tr w14:paraId="1346837F">
        <w:tblPrEx>
          <w:tblCellMar>
            <w:top w:w="0" w:type="dxa"/>
            <w:left w:w="108" w:type="dxa"/>
            <w:bottom w:w="0" w:type="dxa"/>
            <w:right w:w="108" w:type="dxa"/>
          </w:tblCellMar>
        </w:tblPrEx>
        <w:trPr>
          <w:trHeight w:val="567" w:hRule="atLeast"/>
        </w:trPr>
        <w:tc>
          <w:tcPr>
            <w:tcW w:w="359" w:type="pct"/>
            <w:tcBorders>
              <w:top w:val="single" w:color="5B9BD5" w:sz="12" w:space="0"/>
              <w:left w:val="single" w:color="5B9BD5" w:sz="12" w:space="0"/>
              <w:bottom w:val="single" w:color="5B9BD5" w:sz="4" w:space="0"/>
              <w:right w:val="single" w:color="5B9BD5" w:sz="4" w:space="0"/>
              <w:tl2br w:val="nil"/>
            </w:tcBorders>
            <w:shd w:val="clear" w:color="auto" w:fill="9CC4E6"/>
            <w:vAlign w:val="center"/>
          </w:tcPr>
          <w:p w14:paraId="5255CF76">
            <w:pPr>
              <w:bidi w:val="0"/>
              <w:spacing w:line="24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序号</w:t>
            </w:r>
          </w:p>
        </w:tc>
        <w:tc>
          <w:tcPr>
            <w:tcW w:w="562" w:type="pct"/>
            <w:tcBorders>
              <w:top w:val="single" w:color="5B9BD5" w:sz="12" w:space="0"/>
              <w:left w:val="single" w:color="5B9BD5" w:sz="4" w:space="0"/>
              <w:bottom w:val="single" w:color="5B9BD5" w:sz="4" w:space="0"/>
              <w:right w:val="single" w:color="5B9BD5" w:sz="4" w:space="0"/>
            </w:tcBorders>
            <w:shd w:val="clear" w:color="auto" w:fill="9CC4E6"/>
            <w:vAlign w:val="center"/>
          </w:tcPr>
          <w:p w14:paraId="33B5ED0F">
            <w:pPr>
              <w:bidi w:val="0"/>
              <w:spacing w:line="24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设备编号</w:t>
            </w:r>
          </w:p>
        </w:tc>
        <w:tc>
          <w:tcPr>
            <w:tcW w:w="1257" w:type="pct"/>
            <w:tcBorders>
              <w:top w:val="single" w:color="5B9BD5" w:sz="12" w:space="0"/>
              <w:left w:val="single" w:color="5B9BD5" w:sz="4" w:space="0"/>
              <w:bottom w:val="single" w:color="5B9BD5" w:sz="4" w:space="0"/>
              <w:right w:val="single" w:color="5B9BD5" w:sz="4" w:space="0"/>
            </w:tcBorders>
            <w:shd w:val="clear" w:color="auto" w:fill="9CC4E6"/>
            <w:vAlign w:val="center"/>
          </w:tcPr>
          <w:p w14:paraId="6D420C29">
            <w:pPr>
              <w:bidi w:val="0"/>
              <w:spacing w:line="24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仪器设备名称</w:t>
            </w:r>
          </w:p>
        </w:tc>
        <w:tc>
          <w:tcPr>
            <w:tcW w:w="486" w:type="pct"/>
            <w:tcBorders>
              <w:top w:val="single" w:color="5B9BD5" w:sz="12" w:space="0"/>
              <w:left w:val="single" w:color="5B9BD5" w:sz="4" w:space="0"/>
              <w:bottom w:val="single" w:color="5B9BD5" w:sz="4" w:space="0"/>
              <w:right w:val="single" w:color="5B9BD5" w:sz="4" w:space="0"/>
            </w:tcBorders>
            <w:shd w:val="clear" w:color="auto" w:fill="9CC4E6"/>
            <w:vAlign w:val="center"/>
          </w:tcPr>
          <w:p w14:paraId="70566135">
            <w:pPr>
              <w:bidi w:val="0"/>
              <w:spacing w:line="24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型号规格</w:t>
            </w:r>
          </w:p>
        </w:tc>
        <w:tc>
          <w:tcPr>
            <w:tcW w:w="538" w:type="pct"/>
            <w:tcBorders>
              <w:top w:val="single" w:color="5B9BD5" w:sz="12" w:space="0"/>
              <w:left w:val="single" w:color="5B9BD5" w:sz="4" w:space="0"/>
              <w:bottom w:val="single" w:color="5B9BD5" w:sz="4" w:space="0"/>
              <w:right w:val="single" w:color="5B9BD5" w:sz="4" w:space="0"/>
            </w:tcBorders>
            <w:shd w:val="clear" w:color="auto" w:fill="9CC4E6"/>
            <w:vAlign w:val="center"/>
          </w:tcPr>
          <w:p w14:paraId="43F7605C">
            <w:pPr>
              <w:bidi w:val="0"/>
              <w:spacing w:line="24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测量范围</w:t>
            </w:r>
          </w:p>
        </w:tc>
        <w:tc>
          <w:tcPr>
            <w:tcW w:w="1361" w:type="pct"/>
            <w:tcBorders>
              <w:top w:val="single" w:color="5B9BD5" w:sz="12" w:space="0"/>
              <w:left w:val="single" w:color="5B9BD5" w:sz="4" w:space="0"/>
              <w:bottom w:val="single" w:color="5B9BD5" w:sz="4" w:space="0"/>
              <w:right w:val="single" w:color="5B9BD5" w:sz="4" w:space="0"/>
            </w:tcBorders>
            <w:shd w:val="clear" w:color="auto" w:fill="9CC4E6"/>
            <w:vAlign w:val="center"/>
          </w:tcPr>
          <w:p w14:paraId="565C0B74">
            <w:pPr>
              <w:bidi w:val="0"/>
              <w:spacing w:line="24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制造商</w:t>
            </w:r>
          </w:p>
        </w:tc>
        <w:tc>
          <w:tcPr>
            <w:tcW w:w="434" w:type="pct"/>
            <w:tcBorders>
              <w:top w:val="single" w:color="5B9BD5" w:sz="12" w:space="0"/>
              <w:left w:val="single" w:color="5B9BD5" w:sz="4" w:space="0"/>
              <w:bottom w:val="single" w:color="5B9BD5" w:sz="4" w:space="0"/>
              <w:right w:val="single" w:color="5B9BD5" w:sz="12" w:space="0"/>
            </w:tcBorders>
            <w:shd w:val="clear" w:color="auto" w:fill="9CC4E6"/>
            <w:vAlign w:val="center"/>
          </w:tcPr>
          <w:p w14:paraId="2912EC05">
            <w:pPr>
              <w:bidi w:val="0"/>
              <w:spacing w:line="24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台数</w:t>
            </w:r>
          </w:p>
        </w:tc>
      </w:tr>
      <w:tr w14:paraId="7B8F8EE7">
        <w:tblPrEx>
          <w:tblCellMar>
            <w:top w:w="0" w:type="dxa"/>
            <w:left w:w="108" w:type="dxa"/>
            <w:bottom w:w="0" w:type="dxa"/>
            <w:right w:w="108" w:type="dxa"/>
          </w:tblCellMar>
        </w:tblPrEx>
        <w:trPr>
          <w:trHeight w:val="567" w:hRule="atLeast"/>
        </w:trPr>
        <w:tc>
          <w:tcPr>
            <w:tcW w:w="359" w:type="pct"/>
            <w:tcBorders>
              <w:top w:val="single" w:color="5B9BD5" w:sz="4" w:space="0"/>
              <w:left w:val="single" w:color="5B9BD5" w:sz="12" w:space="0"/>
              <w:bottom w:val="single" w:color="5B9BD5" w:sz="4" w:space="0"/>
              <w:right w:val="single" w:color="5B9BD5" w:sz="4" w:space="0"/>
            </w:tcBorders>
            <w:shd w:val="clear" w:color="auto" w:fill="FFFFFF"/>
            <w:vAlign w:val="center"/>
          </w:tcPr>
          <w:p w14:paraId="2FA7C038">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1</w:t>
            </w:r>
          </w:p>
        </w:tc>
        <w:tc>
          <w:tcPr>
            <w:tcW w:w="562"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5A43FD89">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252</w:t>
            </w:r>
          </w:p>
        </w:tc>
        <w:tc>
          <w:tcPr>
            <w:tcW w:w="1257"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66CED8A6">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万能液压试验机</w:t>
            </w:r>
          </w:p>
        </w:tc>
        <w:tc>
          <w:tcPr>
            <w:tcW w:w="486"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010EE4ED">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WE-600</w:t>
            </w:r>
          </w:p>
        </w:tc>
        <w:tc>
          <w:tcPr>
            <w:tcW w:w="538"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799AB2DD">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0-600KN</w:t>
            </w:r>
          </w:p>
        </w:tc>
        <w:tc>
          <w:tcPr>
            <w:tcW w:w="1361"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5A6185D4">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广东试验仪器厂</w:t>
            </w:r>
          </w:p>
        </w:tc>
        <w:tc>
          <w:tcPr>
            <w:tcW w:w="434" w:type="pct"/>
            <w:tcBorders>
              <w:top w:val="single" w:color="5B9BD5" w:sz="4" w:space="0"/>
              <w:left w:val="single" w:color="5B9BD5" w:sz="4" w:space="0"/>
              <w:bottom w:val="single" w:color="5B9BD5" w:sz="4" w:space="0"/>
              <w:right w:val="single" w:color="5B9BD5" w:sz="12" w:space="0"/>
            </w:tcBorders>
            <w:shd w:val="clear" w:color="auto" w:fill="FFFFFF"/>
            <w:vAlign w:val="center"/>
          </w:tcPr>
          <w:p w14:paraId="5BF89B6F">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1</w:t>
            </w:r>
          </w:p>
        </w:tc>
      </w:tr>
      <w:tr w14:paraId="5F942306">
        <w:tblPrEx>
          <w:tblCellMar>
            <w:top w:w="0" w:type="dxa"/>
            <w:left w:w="108" w:type="dxa"/>
            <w:bottom w:w="0" w:type="dxa"/>
            <w:right w:w="108" w:type="dxa"/>
          </w:tblCellMar>
        </w:tblPrEx>
        <w:trPr>
          <w:trHeight w:val="567" w:hRule="atLeast"/>
        </w:trPr>
        <w:tc>
          <w:tcPr>
            <w:tcW w:w="359" w:type="pct"/>
            <w:tcBorders>
              <w:top w:val="single" w:color="5B9BD5" w:sz="4" w:space="0"/>
              <w:left w:val="single" w:color="5B9BD5" w:sz="12" w:space="0"/>
              <w:bottom w:val="single" w:color="5B9BD5" w:sz="4" w:space="0"/>
              <w:right w:val="single" w:color="5B9BD5" w:sz="4" w:space="0"/>
            </w:tcBorders>
            <w:shd w:val="clear" w:color="auto" w:fill="FFFFFF"/>
            <w:vAlign w:val="center"/>
          </w:tcPr>
          <w:p w14:paraId="73F94C83">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2</w:t>
            </w:r>
          </w:p>
        </w:tc>
        <w:tc>
          <w:tcPr>
            <w:tcW w:w="562"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51D80B55">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HJ-CHY-001</w:t>
            </w:r>
          </w:p>
        </w:tc>
        <w:tc>
          <w:tcPr>
            <w:tcW w:w="1257"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1779C694">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磁阻法测厚仪</w:t>
            </w:r>
          </w:p>
        </w:tc>
        <w:tc>
          <w:tcPr>
            <w:tcW w:w="486"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762CBA62">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HCC-18</w:t>
            </w:r>
          </w:p>
        </w:tc>
        <w:tc>
          <w:tcPr>
            <w:tcW w:w="538"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0C161EE6">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0-2000um</w:t>
            </w:r>
          </w:p>
        </w:tc>
        <w:tc>
          <w:tcPr>
            <w:tcW w:w="1361"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3B631486">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huazi</w:t>
            </w:r>
          </w:p>
        </w:tc>
        <w:tc>
          <w:tcPr>
            <w:tcW w:w="434" w:type="pct"/>
            <w:tcBorders>
              <w:top w:val="single" w:color="5B9BD5" w:sz="4" w:space="0"/>
              <w:left w:val="single" w:color="5B9BD5" w:sz="4" w:space="0"/>
              <w:bottom w:val="single" w:color="5B9BD5" w:sz="4" w:space="0"/>
              <w:right w:val="single" w:color="5B9BD5" w:sz="12" w:space="0"/>
            </w:tcBorders>
            <w:shd w:val="clear" w:color="auto" w:fill="FFFFFF"/>
            <w:vAlign w:val="center"/>
          </w:tcPr>
          <w:p w14:paraId="07A2E421">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2</w:t>
            </w:r>
          </w:p>
        </w:tc>
      </w:tr>
      <w:tr w14:paraId="06878C89">
        <w:tblPrEx>
          <w:tblCellMar>
            <w:top w:w="0" w:type="dxa"/>
            <w:left w:w="108" w:type="dxa"/>
            <w:bottom w:w="0" w:type="dxa"/>
            <w:right w:w="108" w:type="dxa"/>
          </w:tblCellMar>
        </w:tblPrEx>
        <w:trPr>
          <w:trHeight w:val="567" w:hRule="atLeast"/>
        </w:trPr>
        <w:tc>
          <w:tcPr>
            <w:tcW w:w="359" w:type="pct"/>
            <w:tcBorders>
              <w:top w:val="single" w:color="5B9BD5" w:sz="4" w:space="0"/>
              <w:left w:val="single" w:color="5B9BD5" w:sz="12" w:space="0"/>
              <w:bottom w:val="single" w:color="5B9BD5" w:sz="4" w:space="0"/>
              <w:right w:val="single" w:color="5B9BD5" w:sz="4" w:space="0"/>
            </w:tcBorders>
            <w:shd w:val="clear" w:color="auto" w:fill="FFFFFF"/>
            <w:vAlign w:val="center"/>
          </w:tcPr>
          <w:p w14:paraId="747A8402">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3</w:t>
            </w:r>
          </w:p>
        </w:tc>
        <w:tc>
          <w:tcPr>
            <w:tcW w:w="562"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7CF90CA9">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3502</w:t>
            </w:r>
          </w:p>
        </w:tc>
        <w:tc>
          <w:tcPr>
            <w:tcW w:w="1257"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31C637BB">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洛氏硬度计</w:t>
            </w:r>
          </w:p>
        </w:tc>
        <w:tc>
          <w:tcPr>
            <w:tcW w:w="486"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4011421B">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HR-150A</w:t>
            </w:r>
          </w:p>
        </w:tc>
        <w:tc>
          <w:tcPr>
            <w:tcW w:w="538" w:type="pct"/>
            <w:tcBorders>
              <w:top w:val="single" w:color="5B9BD5" w:sz="4" w:space="0"/>
              <w:left w:val="single" w:color="5B9BD5" w:sz="4" w:space="0"/>
              <w:bottom w:val="single" w:color="5B9BD5" w:sz="4" w:space="0"/>
              <w:right w:val="single" w:color="5B9BD5" w:sz="4" w:space="0"/>
            </w:tcBorders>
            <w:shd w:val="clear" w:color="auto" w:fill="FFFFFF"/>
            <w:vAlign w:val="center"/>
          </w:tcPr>
          <w:p w14:paraId="0279397B">
            <w:pPr>
              <w:bidi w:val="0"/>
              <w:spacing w:line="240" w:lineRule="auto"/>
              <w:rPr>
                <w:rFonts w:hint="eastAsia" w:ascii="仿宋" w:hAnsi="仿宋" w:eastAsia="仿宋" w:cs="仿宋"/>
                <w:b w:val="0"/>
                <w:color w:val="000000"/>
                <w:sz w:val="21"/>
                <w:szCs w:val="21"/>
              </w:rPr>
            </w:pPr>
          </w:p>
        </w:tc>
        <w:tc>
          <w:tcPr>
            <w:tcW w:w="1361"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65CF531A">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莱州华银仪器有限公司</w:t>
            </w:r>
          </w:p>
        </w:tc>
        <w:tc>
          <w:tcPr>
            <w:tcW w:w="434" w:type="pct"/>
            <w:tcBorders>
              <w:top w:val="single" w:color="5B9BD5" w:sz="4" w:space="0"/>
              <w:left w:val="single" w:color="5B9BD5" w:sz="4" w:space="0"/>
              <w:bottom w:val="single" w:color="5B9BD5" w:sz="4" w:space="0"/>
              <w:right w:val="single" w:color="5B9BD5" w:sz="12" w:space="0"/>
            </w:tcBorders>
            <w:shd w:val="clear" w:color="auto" w:fill="FFFFFF"/>
            <w:vAlign w:val="center"/>
          </w:tcPr>
          <w:p w14:paraId="7C36CD7B">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1</w:t>
            </w:r>
          </w:p>
        </w:tc>
      </w:tr>
      <w:tr w14:paraId="3296294D">
        <w:tblPrEx>
          <w:tblCellMar>
            <w:top w:w="0" w:type="dxa"/>
            <w:left w:w="108" w:type="dxa"/>
            <w:bottom w:w="0" w:type="dxa"/>
            <w:right w:w="108" w:type="dxa"/>
          </w:tblCellMar>
        </w:tblPrEx>
        <w:trPr>
          <w:trHeight w:val="567" w:hRule="atLeast"/>
        </w:trPr>
        <w:tc>
          <w:tcPr>
            <w:tcW w:w="359" w:type="pct"/>
            <w:tcBorders>
              <w:top w:val="single" w:color="5B9BD5" w:sz="4" w:space="0"/>
              <w:left w:val="single" w:color="5B9BD5" w:sz="12" w:space="0"/>
              <w:bottom w:val="single" w:color="5B9BD5" w:sz="4" w:space="0"/>
              <w:right w:val="single" w:color="5B9BD5" w:sz="4" w:space="0"/>
            </w:tcBorders>
            <w:shd w:val="clear" w:color="auto" w:fill="FFFFFF"/>
            <w:vAlign w:val="center"/>
          </w:tcPr>
          <w:p w14:paraId="2C99571B">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4</w:t>
            </w:r>
          </w:p>
        </w:tc>
        <w:tc>
          <w:tcPr>
            <w:tcW w:w="562"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40242047">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M17316A1</w:t>
            </w:r>
          </w:p>
        </w:tc>
        <w:tc>
          <w:tcPr>
            <w:tcW w:w="1257"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1DED22C3">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摆锤式冲击试验机</w:t>
            </w:r>
          </w:p>
        </w:tc>
        <w:tc>
          <w:tcPr>
            <w:tcW w:w="486"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7E021CBA">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JB-300B</w:t>
            </w:r>
          </w:p>
        </w:tc>
        <w:tc>
          <w:tcPr>
            <w:tcW w:w="538"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628818EB">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0-160J</w:t>
            </w:r>
          </w:p>
        </w:tc>
        <w:tc>
          <w:tcPr>
            <w:tcW w:w="1361"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41A66885">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山东鑫光试验机制造有限公司</w:t>
            </w:r>
          </w:p>
        </w:tc>
        <w:tc>
          <w:tcPr>
            <w:tcW w:w="434" w:type="pct"/>
            <w:tcBorders>
              <w:top w:val="single" w:color="5B9BD5" w:sz="4" w:space="0"/>
              <w:left w:val="single" w:color="5B9BD5" w:sz="4" w:space="0"/>
              <w:bottom w:val="single" w:color="5B9BD5" w:sz="4" w:space="0"/>
              <w:right w:val="single" w:color="5B9BD5" w:sz="12" w:space="0"/>
            </w:tcBorders>
            <w:shd w:val="clear" w:color="auto" w:fill="FFFFFF"/>
            <w:vAlign w:val="center"/>
          </w:tcPr>
          <w:p w14:paraId="3D033BC7">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1</w:t>
            </w:r>
          </w:p>
        </w:tc>
      </w:tr>
      <w:tr w14:paraId="336887E4">
        <w:tblPrEx>
          <w:tblCellMar>
            <w:top w:w="0" w:type="dxa"/>
            <w:left w:w="108" w:type="dxa"/>
            <w:bottom w:w="0" w:type="dxa"/>
            <w:right w:w="108" w:type="dxa"/>
          </w:tblCellMar>
        </w:tblPrEx>
        <w:trPr>
          <w:trHeight w:val="567" w:hRule="atLeast"/>
        </w:trPr>
        <w:tc>
          <w:tcPr>
            <w:tcW w:w="359" w:type="pct"/>
            <w:tcBorders>
              <w:top w:val="single" w:color="5B9BD5" w:sz="4" w:space="0"/>
              <w:left w:val="single" w:color="5B9BD5" w:sz="12" w:space="0"/>
              <w:bottom w:val="single" w:color="5B9BD5" w:sz="4" w:space="0"/>
              <w:right w:val="single" w:color="5B9BD5" w:sz="4" w:space="0"/>
            </w:tcBorders>
            <w:shd w:val="clear" w:color="auto" w:fill="FFFFFF"/>
            <w:vAlign w:val="center"/>
          </w:tcPr>
          <w:p w14:paraId="7937A836">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5</w:t>
            </w:r>
          </w:p>
        </w:tc>
        <w:tc>
          <w:tcPr>
            <w:tcW w:w="562"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5AD16E25">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95156061021</w:t>
            </w:r>
          </w:p>
        </w:tc>
        <w:tc>
          <w:tcPr>
            <w:tcW w:w="1257"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58054159">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全普直读光谱仪</w:t>
            </w:r>
          </w:p>
        </w:tc>
        <w:tc>
          <w:tcPr>
            <w:tcW w:w="486"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09F25499">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QR-9</w:t>
            </w:r>
          </w:p>
        </w:tc>
        <w:tc>
          <w:tcPr>
            <w:tcW w:w="538" w:type="pct"/>
            <w:tcBorders>
              <w:top w:val="single" w:color="5B9BD5" w:sz="4" w:space="0"/>
              <w:left w:val="single" w:color="5B9BD5" w:sz="4" w:space="0"/>
              <w:bottom w:val="single" w:color="5B9BD5" w:sz="4" w:space="0"/>
              <w:right w:val="single" w:color="5B9BD5" w:sz="4" w:space="0"/>
            </w:tcBorders>
            <w:shd w:val="clear" w:color="auto" w:fill="FFFFFF"/>
            <w:vAlign w:val="center"/>
          </w:tcPr>
          <w:p w14:paraId="5C5257A0">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20种元素</w:t>
            </w:r>
          </w:p>
        </w:tc>
        <w:tc>
          <w:tcPr>
            <w:tcW w:w="1361"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6DC92A93">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无锡市钱荣高速分析仪有限公司</w:t>
            </w:r>
          </w:p>
        </w:tc>
        <w:tc>
          <w:tcPr>
            <w:tcW w:w="434" w:type="pct"/>
            <w:tcBorders>
              <w:top w:val="single" w:color="5B9BD5" w:sz="4" w:space="0"/>
              <w:left w:val="single" w:color="5B9BD5" w:sz="4" w:space="0"/>
              <w:bottom w:val="single" w:color="5B9BD5" w:sz="4" w:space="0"/>
              <w:right w:val="single" w:color="5B9BD5" w:sz="12" w:space="0"/>
            </w:tcBorders>
            <w:shd w:val="clear" w:color="auto" w:fill="FFFFFF"/>
            <w:vAlign w:val="center"/>
          </w:tcPr>
          <w:p w14:paraId="792AA3CD">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1</w:t>
            </w:r>
          </w:p>
        </w:tc>
      </w:tr>
      <w:tr w14:paraId="1050226C">
        <w:tblPrEx>
          <w:tblCellMar>
            <w:top w:w="0" w:type="dxa"/>
            <w:left w:w="108" w:type="dxa"/>
            <w:bottom w:w="0" w:type="dxa"/>
            <w:right w:w="108" w:type="dxa"/>
          </w:tblCellMar>
        </w:tblPrEx>
        <w:trPr>
          <w:trHeight w:val="567" w:hRule="atLeast"/>
        </w:trPr>
        <w:tc>
          <w:tcPr>
            <w:tcW w:w="359" w:type="pct"/>
            <w:tcBorders>
              <w:top w:val="single" w:color="5B9BD5" w:sz="4" w:space="0"/>
              <w:left w:val="single" w:color="5B9BD5" w:sz="12" w:space="0"/>
              <w:bottom w:val="single" w:color="5B9BD5" w:sz="4" w:space="0"/>
              <w:right w:val="single" w:color="5B9BD5" w:sz="4" w:space="0"/>
            </w:tcBorders>
            <w:shd w:val="clear" w:color="auto" w:fill="FFFFFF"/>
            <w:vAlign w:val="center"/>
          </w:tcPr>
          <w:p w14:paraId="7A7AB5F6">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6</w:t>
            </w:r>
          </w:p>
        </w:tc>
        <w:tc>
          <w:tcPr>
            <w:tcW w:w="562"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5C2A6A1B">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EMW-2000</w:t>
            </w:r>
          </w:p>
        </w:tc>
        <w:tc>
          <w:tcPr>
            <w:tcW w:w="1257"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0FE7113B">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柜式磁粉探伤仪</w:t>
            </w:r>
          </w:p>
        </w:tc>
        <w:tc>
          <w:tcPr>
            <w:tcW w:w="486"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2363FD6D">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065498</w:t>
            </w:r>
          </w:p>
        </w:tc>
        <w:tc>
          <w:tcPr>
            <w:tcW w:w="538"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34FDA7B3">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0-1500A</w:t>
            </w:r>
          </w:p>
        </w:tc>
        <w:tc>
          <w:tcPr>
            <w:tcW w:w="1361"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1C3173E8">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无锡市捷成检测设备有限公司</w:t>
            </w:r>
          </w:p>
        </w:tc>
        <w:tc>
          <w:tcPr>
            <w:tcW w:w="434" w:type="pct"/>
            <w:tcBorders>
              <w:top w:val="single" w:color="5B9BD5" w:sz="4" w:space="0"/>
              <w:left w:val="single" w:color="5B9BD5" w:sz="4" w:space="0"/>
              <w:bottom w:val="single" w:color="5B9BD5" w:sz="4" w:space="0"/>
              <w:right w:val="single" w:color="5B9BD5" w:sz="12" w:space="0"/>
            </w:tcBorders>
            <w:shd w:val="clear" w:color="auto" w:fill="FFFFFF"/>
            <w:vAlign w:val="center"/>
          </w:tcPr>
          <w:p w14:paraId="78C31125">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1</w:t>
            </w:r>
          </w:p>
        </w:tc>
      </w:tr>
      <w:tr w14:paraId="27075B17">
        <w:tblPrEx>
          <w:tblCellMar>
            <w:top w:w="0" w:type="dxa"/>
            <w:left w:w="108" w:type="dxa"/>
            <w:bottom w:w="0" w:type="dxa"/>
            <w:right w:w="108" w:type="dxa"/>
          </w:tblCellMar>
        </w:tblPrEx>
        <w:trPr>
          <w:trHeight w:val="567" w:hRule="atLeast"/>
        </w:trPr>
        <w:tc>
          <w:tcPr>
            <w:tcW w:w="359" w:type="pct"/>
            <w:tcBorders>
              <w:top w:val="single" w:color="5B9BD5" w:sz="4" w:space="0"/>
              <w:left w:val="single" w:color="5B9BD5" w:sz="12" w:space="0"/>
              <w:bottom w:val="single" w:color="5B9BD5" w:sz="4" w:space="0"/>
              <w:right w:val="single" w:color="5B9BD5" w:sz="4" w:space="0"/>
            </w:tcBorders>
            <w:shd w:val="clear" w:color="auto" w:fill="FFFFFF"/>
            <w:vAlign w:val="center"/>
          </w:tcPr>
          <w:p w14:paraId="0B913D93">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7</w:t>
            </w:r>
          </w:p>
        </w:tc>
        <w:tc>
          <w:tcPr>
            <w:tcW w:w="562"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0E780A8B">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WES-2000P</w:t>
            </w:r>
          </w:p>
        </w:tc>
        <w:tc>
          <w:tcPr>
            <w:tcW w:w="1257"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201CA47C">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微机屏显液压万能试验机</w:t>
            </w:r>
          </w:p>
        </w:tc>
        <w:tc>
          <w:tcPr>
            <w:tcW w:w="486"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21AD5196">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150715</w:t>
            </w:r>
          </w:p>
        </w:tc>
        <w:tc>
          <w:tcPr>
            <w:tcW w:w="538"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5743E858">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0-2000kN</w:t>
            </w:r>
          </w:p>
        </w:tc>
        <w:tc>
          <w:tcPr>
            <w:tcW w:w="1361"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0196D68C">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山东鑫光试验机制造有限公司</w:t>
            </w:r>
          </w:p>
        </w:tc>
        <w:tc>
          <w:tcPr>
            <w:tcW w:w="434" w:type="pct"/>
            <w:tcBorders>
              <w:top w:val="single" w:color="5B9BD5" w:sz="4" w:space="0"/>
              <w:left w:val="single" w:color="5B9BD5" w:sz="4" w:space="0"/>
              <w:bottom w:val="single" w:color="5B9BD5" w:sz="4" w:space="0"/>
              <w:right w:val="single" w:color="5B9BD5" w:sz="12" w:space="0"/>
            </w:tcBorders>
            <w:shd w:val="clear" w:color="auto" w:fill="FFFFFF"/>
            <w:vAlign w:val="center"/>
          </w:tcPr>
          <w:p w14:paraId="10800D6F">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1</w:t>
            </w:r>
          </w:p>
        </w:tc>
      </w:tr>
      <w:tr w14:paraId="51BD446F">
        <w:tblPrEx>
          <w:tblCellMar>
            <w:top w:w="0" w:type="dxa"/>
            <w:left w:w="108" w:type="dxa"/>
            <w:bottom w:w="0" w:type="dxa"/>
            <w:right w:w="108" w:type="dxa"/>
          </w:tblCellMar>
        </w:tblPrEx>
        <w:trPr>
          <w:trHeight w:val="567" w:hRule="atLeast"/>
        </w:trPr>
        <w:tc>
          <w:tcPr>
            <w:tcW w:w="359" w:type="pct"/>
            <w:tcBorders>
              <w:top w:val="single" w:color="5B9BD5" w:sz="4" w:space="0"/>
              <w:left w:val="single" w:color="5B9BD5" w:sz="12" w:space="0"/>
              <w:bottom w:val="single" w:color="5B9BD5" w:sz="4" w:space="0"/>
              <w:right w:val="single" w:color="5B9BD5" w:sz="4" w:space="0"/>
            </w:tcBorders>
            <w:shd w:val="clear" w:color="auto" w:fill="FFFFFF"/>
            <w:vAlign w:val="center"/>
          </w:tcPr>
          <w:p w14:paraId="109F404E">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8</w:t>
            </w:r>
          </w:p>
        </w:tc>
        <w:tc>
          <w:tcPr>
            <w:tcW w:w="562"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14F75EA9">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400201704</w:t>
            </w:r>
          </w:p>
        </w:tc>
        <w:tc>
          <w:tcPr>
            <w:tcW w:w="1257"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233BC5A8">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金相显微镜</w:t>
            </w:r>
          </w:p>
        </w:tc>
        <w:tc>
          <w:tcPr>
            <w:tcW w:w="486"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3C3440C1">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XJP-300</w:t>
            </w:r>
          </w:p>
        </w:tc>
        <w:tc>
          <w:tcPr>
            <w:tcW w:w="538" w:type="pct"/>
            <w:tcBorders>
              <w:top w:val="single" w:color="5B9BD5" w:sz="4" w:space="0"/>
              <w:left w:val="single" w:color="5B9BD5" w:sz="4" w:space="0"/>
              <w:bottom w:val="single" w:color="5B9BD5" w:sz="4" w:space="0"/>
              <w:right w:val="single" w:color="5B9BD5" w:sz="4" w:space="0"/>
            </w:tcBorders>
            <w:shd w:val="clear" w:color="auto" w:fill="FFFFFF"/>
            <w:vAlign w:val="center"/>
          </w:tcPr>
          <w:p w14:paraId="31F1558C">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w:t>
            </w:r>
          </w:p>
        </w:tc>
        <w:tc>
          <w:tcPr>
            <w:tcW w:w="1361" w:type="pct"/>
            <w:tcBorders>
              <w:top w:val="single" w:color="5B9BD5" w:sz="4" w:space="0"/>
              <w:left w:val="single" w:color="5B9BD5" w:sz="4" w:space="0"/>
              <w:bottom w:val="single" w:color="5B9BD5" w:sz="4" w:space="0"/>
              <w:right w:val="single" w:color="5B9BD5" w:sz="4" w:space="0"/>
            </w:tcBorders>
            <w:shd w:val="clear" w:color="auto" w:fill="FFFFFF"/>
            <w:noWrap/>
            <w:vAlign w:val="center"/>
          </w:tcPr>
          <w:p w14:paraId="5082BC45">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南京江南永新光学有限公司</w:t>
            </w:r>
          </w:p>
        </w:tc>
        <w:tc>
          <w:tcPr>
            <w:tcW w:w="434" w:type="pct"/>
            <w:tcBorders>
              <w:top w:val="single" w:color="5B9BD5" w:sz="4" w:space="0"/>
              <w:left w:val="single" w:color="5B9BD5" w:sz="4" w:space="0"/>
              <w:bottom w:val="single" w:color="5B9BD5" w:sz="4" w:space="0"/>
              <w:right w:val="single" w:color="5B9BD5" w:sz="12" w:space="0"/>
            </w:tcBorders>
            <w:shd w:val="clear" w:color="auto" w:fill="FFFFFF"/>
            <w:vAlign w:val="center"/>
          </w:tcPr>
          <w:p w14:paraId="3A822F1F">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1</w:t>
            </w:r>
          </w:p>
        </w:tc>
      </w:tr>
      <w:tr w14:paraId="2D59FC5F">
        <w:tblPrEx>
          <w:tblCellMar>
            <w:top w:w="0" w:type="dxa"/>
            <w:left w:w="108" w:type="dxa"/>
            <w:bottom w:w="0" w:type="dxa"/>
            <w:right w:w="108" w:type="dxa"/>
          </w:tblCellMar>
        </w:tblPrEx>
        <w:trPr>
          <w:trHeight w:val="567" w:hRule="atLeast"/>
        </w:trPr>
        <w:tc>
          <w:tcPr>
            <w:tcW w:w="359" w:type="pct"/>
            <w:tcBorders>
              <w:top w:val="single" w:color="5B9BD5" w:sz="4" w:space="0"/>
              <w:left w:val="single" w:color="5B9BD5" w:sz="12" w:space="0"/>
              <w:bottom w:val="single" w:color="5B9BD5" w:sz="12" w:space="0"/>
              <w:right w:val="single" w:color="5B9BD5" w:sz="4" w:space="0"/>
            </w:tcBorders>
            <w:shd w:val="clear" w:color="auto" w:fill="FFFFFF"/>
            <w:vAlign w:val="center"/>
          </w:tcPr>
          <w:p w14:paraId="6F09BA6D">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9</w:t>
            </w:r>
          </w:p>
        </w:tc>
        <w:tc>
          <w:tcPr>
            <w:tcW w:w="562" w:type="pct"/>
            <w:tcBorders>
              <w:top w:val="single" w:color="5B9BD5" w:sz="4" w:space="0"/>
              <w:left w:val="single" w:color="5B9BD5" w:sz="4" w:space="0"/>
              <w:bottom w:val="single" w:color="5B9BD5" w:sz="12" w:space="0"/>
              <w:right w:val="single" w:color="5B9BD5" w:sz="4" w:space="0"/>
            </w:tcBorders>
            <w:shd w:val="clear" w:color="auto" w:fill="FFFFFF"/>
            <w:noWrap/>
            <w:vAlign w:val="center"/>
          </w:tcPr>
          <w:p w14:paraId="08E4FBB3">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H101490</w:t>
            </w:r>
          </w:p>
        </w:tc>
        <w:tc>
          <w:tcPr>
            <w:tcW w:w="1257" w:type="pct"/>
            <w:tcBorders>
              <w:top w:val="single" w:color="5B9BD5" w:sz="4" w:space="0"/>
              <w:left w:val="single" w:color="5B9BD5" w:sz="4" w:space="0"/>
              <w:bottom w:val="single" w:color="5B9BD5" w:sz="12" w:space="0"/>
              <w:right w:val="single" w:color="5B9BD5" w:sz="4" w:space="0"/>
            </w:tcBorders>
            <w:shd w:val="clear" w:color="auto" w:fill="FFFFFF"/>
            <w:noWrap/>
            <w:vAlign w:val="center"/>
          </w:tcPr>
          <w:p w14:paraId="70A09362">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维氏硬度计</w:t>
            </w:r>
          </w:p>
        </w:tc>
        <w:tc>
          <w:tcPr>
            <w:tcW w:w="486" w:type="pct"/>
            <w:tcBorders>
              <w:top w:val="single" w:color="5B9BD5" w:sz="4" w:space="0"/>
              <w:left w:val="single" w:color="5B9BD5" w:sz="4" w:space="0"/>
              <w:bottom w:val="single" w:color="5B9BD5" w:sz="12" w:space="0"/>
              <w:right w:val="single" w:color="5B9BD5" w:sz="4" w:space="0"/>
            </w:tcBorders>
            <w:shd w:val="clear" w:color="auto" w:fill="FFFFFF"/>
            <w:noWrap/>
            <w:vAlign w:val="center"/>
          </w:tcPr>
          <w:p w14:paraId="1FD3E9D1">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HV-30</w:t>
            </w:r>
          </w:p>
        </w:tc>
        <w:tc>
          <w:tcPr>
            <w:tcW w:w="538" w:type="pct"/>
            <w:tcBorders>
              <w:top w:val="single" w:color="5B9BD5" w:sz="4" w:space="0"/>
              <w:left w:val="single" w:color="5B9BD5" w:sz="4" w:space="0"/>
              <w:bottom w:val="single" w:color="5B9BD5" w:sz="12" w:space="0"/>
              <w:right w:val="single" w:color="5B9BD5" w:sz="4" w:space="0"/>
            </w:tcBorders>
            <w:shd w:val="clear" w:color="auto" w:fill="FFFFFF"/>
            <w:noWrap/>
            <w:vAlign w:val="center"/>
          </w:tcPr>
          <w:p w14:paraId="40982ED2">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HV1-HV30</w:t>
            </w:r>
          </w:p>
        </w:tc>
        <w:tc>
          <w:tcPr>
            <w:tcW w:w="1361" w:type="pct"/>
            <w:tcBorders>
              <w:top w:val="single" w:color="5B9BD5" w:sz="4" w:space="0"/>
              <w:left w:val="single" w:color="5B9BD5" w:sz="4" w:space="0"/>
              <w:bottom w:val="single" w:color="5B9BD5" w:sz="12" w:space="0"/>
              <w:right w:val="single" w:color="5B9BD5" w:sz="4" w:space="0"/>
            </w:tcBorders>
            <w:shd w:val="clear" w:color="auto" w:fill="FFFFFF"/>
            <w:noWrap/>
            <w:vAlign w:val="center"/>
          </w:tcPr>
          <w:p w14:paraId="5E8308FA">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莱州恒仪试验仪器有限公司</w:t>
            </w:r>
          </w:p>
        </w:tc>
        <w:tc>
          <w:tcPr>
            <w:tcW w:w="434" w:type="pct"/>
            <w:tcBorders>
              <w:top w:val="single" w:color="5B9BD5" w:sz="4" w:space="0"/>
              <w:left w:val="single" w:color="5B9BD5" w:sz="4" w:space="0"/>
              <w:bottom w:val="single" w:color="5B9BD5" w:sz="12" w:space="0"/>
              <w:right w:val="single" w:color="5B9BD5" w:sz="12" w:space="0"/>
            </w:tcBorders>
            <w:shd w:val="clear" w:color="auto" w:fill="FFFFFF"/>
            <w:vAlign w:val="center"/>
          </w:tcPr>
          <w:p w14:paraId="1213F82B">
            <w:pPr>
              <w:bidi w:val="0"/>
              <w:spacing w:line="240" w:lineRule="auto"/>
              <w:rPr>
                <w:rFonts w:hint="eastAsia" w:ascii="仿宋" w:hAnsi="仿宋" w:eastAsia="仿宋" w:cs="仿宋"/>
                <w:b w:val="0"/>
                <w:color w:val="000000"/>
                <w:sz w:val="21"/>
                <w:szCs w:val="21"/>
              </w:rPr>
            </w:pPr>
            <w:r>
              <w:rPr>
                <w:rFonts w:hint="eastAsia" w:ascii="仿宋" w:hAnsi="仿宋" w:eastAsia="仿宋" w:cs="仿宋"/>
                <w:b w:val="0"/>
                <w:color w:val="000000"/>
                <w:sz w:val="21"/>
                <w:szCs w:val="21"/>
              </w:rPr>
              <w:t>1</w:t>
            </w:r>
          </w:p>
        </w:tc>
      </w:tr>
    </w:tbl>
    <w:p w14:paraId="6006BCBC">
      <w:pPr>
        <w:rPr>
          <w:rFonts w:hint="eastAsia" w:ascii="仿宋" w:hAnsi="仿宋" w:eastAsia="仿宋" w:cs="仿宋"/>
          <w:sz w:val="24"/>
          <w:szCs w:val="24"/>
        </w:rPr>
      </w:pPr>
      <w:r>
        <w:rPr>
          <w:rFonts w:hint="eastAsia" w:ascii="仿宋" w:hAnsi="仿宋" w:eastAsia="仿宋" w:cs="仿宋"/>
          <w:sz w:val="24"/>
          <w:szCs w:val="24"/>
        </w:rPr>
        <w:br w:type="page"/>
      </w:r>
    </w:p>
    <w:p w14:paraId="667FA2D6">
      <w:pPr>
        <w:pStyle w:val="2"/>
        <w:bidi w:val="0"/>
        <w:jc w:val="center"/>
        <w:rPr>
          <w:rFonts w:hint="eastAsia" w:ascii="仿宋" w:hAnsi="仿宋" w:eastAsia="仿宋" w:cs="仿宋"/>
        </w:rPr>
      </w:pPr>
      <w:bookmarkStart w:id="37" w:name="_Toc84955506"/>
      <w:bookmarkStart w:id="38" w:name="_Toc20007"/>
      <w:bookmarkStart w:id="39" w:name="_Toc497"/>
      <w:r>
        <w:rPr>
          <w:rFonts w:hint="eastAsia" w:ascii="仿宋" w:hAnsi="仿宋" w:eastAsia="仿宋" w:cs="仿宋"/>
        </w:rPr>
        <w:t>第五章</w:t>
      </w:r>
      <w:r>
        <w:rPr>
          <w:rFonts w:hint="eastAsia" w:ascii="仿宋" w:hAnsi="仿宋" w:eastAsia="仿宋" w:cs="仿宋"/>
          <w:lang w:val="en-US" w:eastAsia="zh-CN"/>
        </w:rPr>
        <w:t xml:space="preserve"> </w:t>
      </w:r>
      <w:r>
        <w:rPr>
          <w:rFonts w:hint="eastAsia" w:ascii="仿宋" w:hAnsi="仿宋" w:eastAsia="仿宋" w:cs="仿宋"/>
        </w:rPr>
        <w:t>产品质量责任</w:t>
      </w:r>
      <w:bookmarkEnd w:id="37"/>
      <w:bookmarkEnd w:id="38"/>
      <w:bookmarkEnd w:id="39"/>
    </w:p>
    <w:p w14:paraId="2C216BC6">
      <w:pPr>
        <w:pStyle w:val="3"/>
        <w:bidi w:val="0"/>
        <w:rPr>
          <w:rFonts w:hint="eastAsia" w:ascii="仿宋" w:hAnsi="仿宋" w:eastAsia="仿宋" w:cs="仿宋"/>
        </w:rPr>
      </w:pPr>
      <w:bookmarkStart w:id="40" w:name="_Toc84955507"/>
      <w:bookmarkStart w:id="41" w:name="_Toc32659"/>
      <w:r>
        <w:rPr>
          <w:rFonts w:hint="eastAsia" w:ascii="仿宋" w:hAnsi="仿宋" w:eastAsia="仿宋" w:cs="仿宋"/>
        </w:rPr>
        <w:t>5.1产品质量责任</w:t>
      </w:r>
      <w:bookmarkEnd w:id="40"/>
      <w:bookmarkEnd w:id="41"/>
    </w:p>
    <w:p w14:paraId="371B0367">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公司在售前对产品的技术、质量、价格、原材料供应、配件供应、交货期等进行全面分析，确保全面满足用户需求。生产中，公司一直秉持“专业、专注、技术领先”的经营理念，确保产品符合客户要求。</w:t>
      </w:r>
      <w:r>
        <w:rPr>
          <w:rFonts w:hint="eastAsia" w:ascii="仿宋" w:hAnsi="仿宋" w:eastAsia="仿宋" w:cs="仿宋"/>
          <w:sz w:val="24"/>
          <w:szCs w:val="24"/>
        </w:rPr>
        <w:cr/>
      </w:r>
      <w:bookmarkStart w:id="42" w:name="_Toc84955508"/>
      <w:r>
        <w:rPr>
          <w:rStyle w:val="21"/>
          <w:rFonts w:hint="eastAsia" w:ascii="仿宋" w:hAnsi="仿宋" w:eastAsia="仿宋" w:cs="仿宋"/>
        </w:rPr>
        <w:t>5.2产品质量承诺</w:t>
      </w:r>
      <w:bookmarkEnd w:id="42"/>
    </w:p>
    <w:p w14:paraId="69570446">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1、本企业严格遵守《中华人民共和国产品质量法》、《中华人民共和国产品计量法》等相关法律法规，依法诚信经营。</w:t>
      </w:r>
    </w:p>
    <w:p w14:paraId="02AA4D1E">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2、公司依法实施三包。根据产品的特点，公司制定有产品质量担保责任制度，履行更换、退货等产品责任和义务。</w:t>
      </w:r>
    </w:p>
    <w:p w14:paraId="0BCE7F34">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3、在产品研发及加工过程决不剽窃他人技术、专利、工艺等知识产权，绝不使用剽窃他人技术的原材料。</w:t>
      </w:r>
    </w:p>
    <w:p w14:paraId="0E9FE667">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4、本企业周围环境、生产现场符合国家法规的要求。</w:t>
      </w:r>
    </w:p>
    <w:p w14:paraId="459F93E8">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5、本企业严格执行原辅材料检验制度，所用的原辅材料及包装材料符合相应的国家标准、行业标准及其相关规定。</w:t>
      </w:r>
    </w:p>
    <w:p w14:paraId="1EC8E273">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6、不允许假冒伪劣原材料进厂，不使用检验不合格原材料进行生产。</w:t>
      </w:r>
    </w:p>
    <w:p w14:paraId="7024F11E">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7、保证不生产加工假冒伪劣产品，承诺产品出厂产品批批检测，未经检验的产品绝不出厂。</w:t>
      </w:r>
    </w:p>
    <w:p w14:paraId="1859713A">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8、检验不合格的产品绝不出厂，决不以不合格品冒充合格品出厂。</w:t>
      </w:r>
    </w:p>
    <w:p w14:paraId="74344F7D">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9、所采用的仪器设备严格按照国家法定要求进行检定，检定不合格的仪器设备绝不用于产品检测。 </w:t>
      </w:r>
    </w:p>
    <w:p w14:paraId="6406C45E">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10、保证所生产的批批产品都能进行追溯，如生产日期、班次，生产原料、生产过程、检验人员等等。</w:t>
      </w:r>
    </w:p>
    <w:p w14:paraId="325B6EF1">
      <w:pPr>
        <w:pStyle w:val="3"/>
        <w:bidi w:val="0"/>
        <w:rPr>
          <w:rFonts w:hint="eastAsia" w:ascii="仿宋" w:hAnsi="仿宋" w:eastAsia="仿宋" w:cs="仿宋"/>
        </w:rPr>
      </w:pPr>
      <w:bookmarkStart w:id="43" w:name="_Toc10816"/>
      <w:bookmarkStart w:id="44" w:name="_Toc84955509"/>
      <w:r>
        <w:rPr>
          <w:rFonts w:hint="eastAsia" w:ascii="仿宋" w:hAnsi="仿宋" w:eastAsia="仿宋" w:cs="仿宋"/>
        </w:rPr>
        <w:t>5.3生产许可情况</w:t>
      </w:r>
      <w:bookmarkEnd w:id="43"/>
      <w:bookmarkEnd w:id="44"/>
    </w:p>
    <w:p w14:paraId="0E37C484">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本公司生产加工场所、生产设备、设施、检测仪器、管理人员、技术人员等在同行业中处于先进水平，符合相关国家法律、法规要求，营业执照在有效期内。</w:t>
      </w:r>
    </w:p>
    <w:p w14:paraId="70D10995">
      <w:pPr>
        <w:bidi w:val="0"/>
        <w:spacing w:line="360" w:lineRule="auto"/>
        <w:rPr>
          <w:rFonts w:hint="eastAsia" w:ascii="仿宋" w:hAnsi="仿宋" w:eastAsia="仿宋" w:cs="仿宋"/>
          <w:sz w:val="24"/>
          <w:szCs w:val="24"/>
        </w:rPr>
        <w:sectPr>
          <w:pgSz w:w="11906" w:h="16838"/>
          <w:pgMar w:top="1440" w:right="1800" w:bottom="1440" w:left="1800" w:header="851" w:footer="992" w:gutter="0"/>
          <w:pgNumType w:fmt="decimal"/>
          <w:cols w:space="425" w:num="1"/>
          <w:docGrid w:type="lines" w:linePitch="312" w:charSpace="0"/>
        </w:sectPr>
      </w:pPr>
    </w:p>
    <w:p w14:paraId="185CE0D5">
      <w:pPr>
        <w:pStyle w:val="2"/>
        <w:bidi w:val="0"/>
        <w:jc w:val="center"/>
        <w:rPr>
          <w:rFonts w:hint="eastAsia" w:ascii="仿宋" w:hAnsi="仿宋" w:eastAsia="仿宋" w:cs="仿宋"/>
        </w:rPr>
      </w:pPr>
      <w:bookmarkStart w:id="45" w:name="_Toc16684"/>
      <w:bookmarkStart w:id="46" w:name="_Toc9978"/>
      <w:bookmarkStart w:id="47" w:name="_Toc84955510"/>
      <w:r>
        <w:rPr>
          <w:rFonts w:hint="eastAsia" w:ascii="仿宋" w:hAnsi="仿宋" w:eastAsia="仿宋" w:cs="仿宋"/>
        </w:rPr>
        <w:t>第六章</w:t>
      </w:r>
      <w:r>
        <w:rPr>
          <w:rFonts w:hint="eastAsia" w:ascii="仿宋" w:hAnsi="仿宋" w:eastAsia="仿宋" w:cs="仿宋"/>
          <w:lang w:val="en-US" w:eastAsia="zh-CN"/>
        </w:rPr>
        <w:t xml:space="preserve"> </w:t>
      </w:r>
      <w:r>
        <w:rPr>
          <w:rFonts w:hint="eastAsia" w:ascii="仿宋" w:hAnsi="仿宋" w:eastAsia="仿宋" w:cs="仿宋"/>
        </w:rPr>
        <w:t>质量风险管理</w:t>
      </w:r>
      <w:bookmarkEnd w:id="45"/>
      <w:bookmarkEnd w:id="46"/>
      <w:bookmarkEnd w:id="47"/>
    </w:p>
    <w:p w14:paraId="0004C8CD">
      <w:pPr>
        <w:pStyle w:val="3"/>
        <w:bidi w:val="0"/>
        <w:rPr>
          <w:rFonts w:hint="eastAsia" w:ascii="仿宋" w:hAnsi="仿宋" w:eastAsia="仿宋" w:cs="仿宋"/>
        </w:rPr>
      </w:pPr>
      <w:bookmarkStart w:id="48" w:name="_Toc84955511"/>
      <w:bookmarkStart w:id="49" w:name="_Toc29314"/>
      <w:r>
        <w:rPr>
          <w:rFonts w:hint="eastAsia" w:ascii="仿宋" w:hAnsi="仿宋" w:eastAsia="仿宋" w:cs="仿宋"/>
        </w:rPr>
        <w:t>6.1生产过程控制流程</w:t>
      </w:r>
      <w:bookmarkEnd w:id="48"/>
      <w:bookmarkEnd w:id="49"/>
    </w:p>
    <w:p w14:paraId="79475D2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1）操作者在生产过程中按工艺文件、技术文件和设备操作规程进行生产，按要求做好首检、自检和末检。</w:t>
      </w:r>
    </w:p>
    <w:p w14:paraId="38ED651F">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2）检验人员按照检验规范要求进行检验；同时对关键过程和特殊过程严格监控并做好记录。防止人为的错误发生。</w:t>
      </w:r>
    </w:p>
    <w:p w14:paraId="6661A7D8">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eastAsia="zh-CN"/>
        </w:rPr>
        <w:t>生技科</w:t>
      </w:r>
      <w:r>
        <w:rPr>
          <w:rFonts w:hint="eastAsia" w:ascii="仿宋" w:hAnsi="仿宋" w:eastAsia="仿宋" w:cs="仿宋"/>
          <w:sz w:val="24"/>
          <w:szCs w:val="24"/>
        </w:rPr>
        <w:t>负责对设备进行日常维护保养和管理。</w:t>
      </w:r>
    </w:p>
    <w:p w14:paraId="6E224AA7">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4）配置适用的监视与测量设备，对监视和测量设备进行控制。</w:t>
      </w:r>
    </w:p>
    <w:p w14:paraId="7E7EF897">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5）对于关键过程和特殊过程工序应进行识别和确认，内容包括：</w:t>
      </w:r>
    </w:p>
    <w:p w14:paraId="794005AA">
      <w:pPr>
        <w:bidi w:val="0"/>
        <w:spacing w:line="360" w:lineRule="auto"/>
        <w:ind w:firstLine="720" w:firstLineChars="300"/>
        <w:rPr>
          <w:rFonts w:hint="eastAsia" w:ascii="仿宋" w:hAnsi="仿宋" w:eastAsia="仿宋" w:cs="仿宋"/>
          <w:sz w:val="24"/>
          <w:szCs w:val="24"/>
        </w:rPr>
      </w:pPr>
      <w:r>
        <w:rPr>
          <w:rFonts w:hint="eastAsia" w:ascii="仿宋" w:hAnsi="仿宋" w:eastAsia="仿宋" w:cs="仿宋"/>
          <w:sz w:val="24"/>
          <w:szCs w:val="24"/>
        </w:rPr>
        <w:t>a. 设备的认可；</w:t>
      </w:r>
    </w:p>
    <w:p w14:paraId="3E0EB82F">
      <w:pPr>
        <w:bidi w:val="0"/>
        <w:spacing w:line="360" w:lineRule="auto"/>
        <w:ind w:firstLine="720" w:firstLineChars="300"/>
        <w:rPr>
          <w:rFonts w:hint="eastAsia" w:ascii="仿宋" w:hAnsi="仿宋" w:eastAsia="仿宋" w:cs="仿宋"/>
          <w:sz w:val="24"/>
          <w:szCs w:val="24"/>
        </w:rPr>
      </w:pPr>
      <w:r>
        <w:rPr>
          <w:rFonts w:hint="eastAsia" w:ascii="仿宋" w:hAnsi="仿宋" w:eastAsia="仿宋" w:cs="仿宋"/>
          <w:sz w:val="24"/>
          <w:szCs w:val="24"/>
        </w:rPr>
        <w:t>b. 人员资格的鉴定；</w:t>
      </w:r>
    </w:p>
    <w:p w14:paraId="056568A1">
      <w:pPr>
        <w:bidi w:val="0"/>
        <w:spacing w:line="360" w:lineRule="auto"/>
        <w:ind w:firstLine="720" w:firstLineChars="300"/>
        <w:rPr>
          <w:rFonts w:hint="eastAsia" w:ascii="仿宋" w:hAnsi="仿宋" w:eastAsia="仿宋" w:cs="仿宋"/>
          <w:sz w:val="24"/>
          <w:szCs w:val="24"/>
        </w:rPr>
      </w:pPr>
      <w:r>
        <w:rPr>
          <w:rFonts w:hint="eastAsia" w:ascii="仿宋" w:hAnsi="仿宋" w:eastAsia="仿宋" w:cs="仿宋"/>
          <w:sz w:val="24"/>
          <w:szCs w:val="24"/>
        </w:rPr>
        <w:t>c. 设备维护保养的规定，并保存其记录；</w:t>
      </w:r>
    </w:p>
    <w:p w14:paraId="6821BEFF">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d</w:t>
      </w:r>
      <w:r>
        <w:rPr>
          <w:rFonts w:hint="eastAsia" w:ascii="仿宋" w:hAnsi="仿宋" w:eastAsia="仿宋" w:cs="仿宋"/>
          <w:sz w:val="24"/>
          <w:szCs w:val="24"/>
        </w:rPr>
        <w:t>. 确定工艺参数，并对其进行监视；</w:t>
      </w:r>
    </w:p>
    <w:p w14:paraId="757EFEFD">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6）当生产条件发生变化时（如材料、设施、人员等），应对上述过程进行再确认，确保对影响过程能力的变化及时做出调整。</w:t>
      </w:r>
    </w:p>
    <w:p w14:paraId="784919AB">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7）操作工需严格按照工艺文件执行，对特殊过程进行连续监控，并保留特殊工序作业原始记录和检验记录，检验人员进行监督检查。</w:t>
      </w:r>
    </w:p>
    <w:p w14:paraId="232130E6">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8）办公室负责组织相关部门对特殊过程操作人员监控，考核合格后方能上岗。</w:t>
      </w:r>
    </w:p>
    <w:p w14:paraId="23F10D2B">
      <w:pPr>
        <w:pStyle w:val="3"/>
        <w:bidi w:val="0"/>
        <w:rPr>
          <w:rFonts w:hint="eastAsia" w:ascii="仿宋" w:hAnsi="仿宋" w:eastAsia="仿宋" w:cs="仿宋"/>
        </w:rPr>
      </w:pPr>
      <w:bookmarkStart w:id="50" w:name="_Toc84955512"/>
      <w:bookmarkStart w:id="51" w:name="_Toc2912"/>
      <w:r>
        <w:rPr>
          <w:rFonts w:hint="eastAsia" w:ascii="仿宋" w:hAnsi="仿宋" w:eastAsia="仿宋" w:cs="仿宋"/>
        </w:rPr>
        <w:t>6.2风险管理程序</w:t>
      </w:r>
      <w:bookmarkEnd w:id="50"/>
      <w:bookmarkEnd w:id="51"/>
    </w:p>
    <w:p w14:paraId="49A6BA48">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已制定《产品服务放行和不合格品控制程序》、《应急准备和响应控制程序》，对可能发生的环境事故和紧急情况作好充分的准备，对可能发生的直接或间接质量风险作好充分的准备，对已发生的质量事故和紧急情况迅速作出响应，按照公司客户投诉处理流程进行处理，以预防和减少可能伴随的后续影响。（直接质量风险：产品质量问题，导致退货、报废、修理等风险；间接质量风险：产品使用过程，损坏了顾客的其它财产权或人身权，应负民事赔偿责任。）</w:t>
      </w:r>
    </w:p>
    <w:p w14:paraId="66D0F608">
      <w:pPr>
        <w:pStyle w:val="3"/>
        <w:bidi w:val="0"/>
        <w:rPr>
          <w:rFonts w:hint="eastAsia" w:ascii="仿宋" w:hAnsi="仿宋" w:eastAsia="仿宋" w:cs="仿宋"/>
        </w:rPr>
      </w:pPr>
      <w:bookmarkStart w:id="52" w:name="_Toc84955513"/>
      <w:bookmarkStart w:id="53" w:name="_Toc19601"/>
      <w:r>
        <w:rPr>
          <w:rFonts w:hint="eastAsia" w:ascii="仿宋" w:hAnsi="仿宋" w:eastAsia="仿宋" w:cs="仿宋"/>
        </w:rPr>
        <w:t>6.3质量安全应急预案</w:t>
      </w:r>
      <w:bookmarkEnd w:id="52"/>
      <w:bookmarkEnd w:id="53"/>
    </w:p>
    <w:p w14:paraId="0BC9E74B">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为减少突发质量失信事件的不良影响，公司建立质量失信应急准备和响应机制，以针对潜在的质量失信事件或紧急、突发事件，作出快速、及时的响应：</w:t>
      </w:r>
    </w:p>
    <w:p w14:paraId="2FBD9F11">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6.3.1应急管理原则。质量安全突发事件应急处置工作坚持“以人为本，减少危害，统一领导，分级负责，快速反应，长效监管”的原则；</w:t>
      </w:r>
    </w:p>
    <w:p w14:paraId="556AFA6F">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6.3.2成立产品质量安全突发事件指挥小组。由总经理、各部门负责人组成，负责承担公司质量安全突发事件的应急处置和全面指挥工作，具体安排质量安全突发事件应急处置预案的组织与实施，向上级部门、市政府和相关单位报告、通报情况并协调政府有关部门联合处理突发事件适时向社会发布有关信息，加强舆论，组织有关单位和专家进行事故鉴定和调查，在本公司内紧急调用公司内各类物资、设备和场地并对问题产品及相关部门进行后处理；</w:t>
      </w:r>
    </w:p>
    <w:p w14:paraId="3B579232">
      <w:pPr>
        <w:bidi w:val="0"/>
        <w:spacing w:line="360" w:lineRule="auto"/>
        <w:rPr>
          <w:rFonts w:hint="eastAsia" w:ascii="仿宋" w:hAnsi="仿宋" w:eastAsia="仿宋" w:cs="仿宋"/>
          <w:sz w:val="24"/>
          <w:szCs w:val="24"/>
        </w:rPr>
      </w:pPr>
      <w:r>
        <w:rPr>
          <w:rFonts w:hint="eastAsia" w:ascii="仿宋" w:hAnsi="仿宋" w:eastAsia="仿宋" w:cs="仿宋"/>
          <w:sz w:val="24"/>
          <w:szCs w:val="24"/>
        </w:rPr>
        <w:t>6.3.3应急响应</w:t>
      </w:r>
    </w:p>
    <w:p w14:paraId="17462636">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发生特大、重大突发事件公司内任何单位和个人都有责任在第一时间直接向公司质量安全突发事件指挥小组报告。</w:t>
      </w:r>
    </w:p>
    <w:p w14:paraId="54E3825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快速反应机制。公司质量安全突发事件指挥小组成员在接到突发事件指令后必须第一时间赶赴现场，并按报告制度迅速上报。</w:t>
      </w:r>
    </w:p>
    <w:p w14:paraId="5DFF4615">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通讯通畅。公司质量安全突发事件指挥小组所有人员以及值班人员平时要保证值班电话及手机联络通畅，突发事件发生后，公司所有人员要24小时开机，保证能够及时联络和统一调拨。</w:t>
      </w:r>
    </w:p>
    <w:p w14:paraId="6C36874A">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依法处置。对有严重质量问题的产品应当立即封存抽样检验。突发事件处置要依法快速、准确高效检验，鉴定要科学严谨。</w:t>
      </w:r>
    </w:p>
    <w:p w14:paraId="7EF0C1D8">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突发事件的检测。加强对公司内生产过程不定期巡查，特别是要加强节假日期间的巡查检查工作是否存在违规使用原料、违规操作的行为，把突发事件将至最低。加强应急人员的培训、管理，提高对应急突发事件的处置和能力。</w:t>
      </w:r>
    </w:p>
    <w:p w14:paraId="7BAB8C32">
      <w:pPr>
        <w:bidi w:val="0"/>
        <w:spacing w:line="360" w:lineRule="auto"/>
        <w:rPr>
          <w:rFonts w:hint="eastAsia" w:ascii="仿宋" w:hAnsi="仿宋" w:eastAsia="仿宋" w:cs="仿宋"/>
          <w:sz w:val="24"/>
          <w:szCs w:val="24"/>
        </w:rPr>
      </w:pPr>
      <w:r>
        <w:rPr>
          <w:rFonts w:hint="eastAsia" w:ascii="仿宋" w:hAnsi="仿宋" w:eastAsia="仿宋" w:cs="仿宋"/>
          <w:sz w:val="24"/>
          <w:szCs w:val="24"/>
        </w:rPr>
        <w:br w:type="page"/>
      </w:r>
    </w:p>
    <w:p w14:paraId="420DB92D">
      <w:pPr>
        <w:pStyle w:val="2"/>
        <w:bidi w:val="0"/>
        <w:jc w:val="center"/>
        <w:rPr>
          <w:rFonts w:hint="eastAsia" w:ascii="仿宋" w:hAnsi="仿宋" w:eastAsia="仿宋" w:cs="仿宋"/>
          <w:b/>
          <w:bCs/>
          <w:color w:val="auto"/>
        </w:rPr>
      </w:pPr>
      <w:bookmarkStart w:id="54" w:name="_Toc84955514"/>
      <w:bookmarkStart w:id="55" w:name="_Toc19185"/>
      <w:bookmarkStart w:id="56" w:name="_Toc28009_WPSOffice_Level1"/>
      <w:bookmarkStart w:id="57" w:name="_Toc2351419"/>
      <w:bookmarkStart w:id="58" w:name="_Toc28238"/>
      <w:bookmarkStart w:id="59" w:name="_Toc15659"/>
      <w:r>
        <w:rPr>
          <w:rFonts w:hint="eastAsia" w:ascii="仿宋" w:hAnsi="仿宋" w:eastAsia="仿宋" w:cs="仿宋"/>
          <w:b/>
          <w:bCs/>
          <w:color w:val="auto"/>
        </w:rPr>
        <w:t>结束语</w:t>
      </w:r>
      <w:bookmarkEnd w:id="54"/>
      <w:bookmarkEnd w:id="55"/>
      <w:bookmarkEnd w:id="56"/>
      <w:bookmarkEnd w:id="57"/>
      <w:bookmarkEnd w:id="58"/>
      <w:bookmarkEnd w:id="59"/>
    </w:p>
    <w:p w14:paraId="09BF65A3">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近年来，浙江省以标准和认证为手段，以高标准引领打造“浙江制造”品牌，强调不断完善质量诚信标准体系、加快质量信用信息化建设。依据要求，公司相继完善了相关制度，认真贯彻落实，并自觉接受有关部门的监督管理。</w:t>
      </w:r>
    </w:p>
    <w:p w14:paraId="42916115">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质量诚信体系建设是一项长期的、系统的工作任务，要完善质量诚信体系建设的规章制度，巩固和深化企业质量诚信建设所取得的成效，必须建立长效机制，科学实施，常抓不懈。公司承诺坚持持续改进质量管理体系，不断提升质量诚信水平，为“用双手开拓进取，用能力创造未来”的愿景而努力！</w:t>
      </w:r>
    </w:p>
    <w:p w14:paraId="36481434">
      <w:pPr>
        <w:bidi w:val="0"/>
        <w:spacing w:line="360" w:lineRule="auto"/>
        <w:rPr>
          <w:rFonts w:hint="eastAsia" w:ascii="仿宋" w:hAnsi="仿宋" w:eastAsia="仿宋" w:cs="仿宋"/>
          <w:sz w:val="24"/>
          <w:szCs w:val="24"/>
        </w:rPr>
      </w:pPr>
    </w:p>
    <w:p w14:paraId="110D972D">
      <w:pPr>
        <w:bidi w:val="0"/>
        <w:spacing w:line="360" w:lineRule="auto"/>
        <w:rPr>
          <w:rFonts w:hint="eastAsia" w:ascii="仿宋" w:hAnsi="仿宋" w:eastAsia="仿宋" w:cs="仿宋"/>
          <w:sz w:val="24"/>
          <w:szCs w:val="24"/>
        </w:rPr>
      </w:pPr>
    </w:p>
    <w:p w14:paraId="3C8BB3C4">
      <w:pPr>
        <w:bidi w:val="0"/>
        <w:spacing w:line="360" w:lineRule="auto"/>
        <w:rPr>
          <w:rFonts w:hint="eastAsia" w:ascii="仿宋" w:hAnsi="仿宋" w:eastAsia="仿宋" w:cs="仿宋"/>
          <w:sz w:val="24"/>
          <w:szCs w:val="24"/>
        </w:rPr>
      </w:pPr>
    </w:p>
    <w:sectPr>
      <w:pgSz w:w="11906" w:h="16838"/>
      <w:pgMar w:top="1440" w:right="1800" w:bottom="1440" w:left="1800" w:header="851" w:footer="992" w:gutter="0"/>
      <w:pgNumType w:fmt="decimal"/>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34D">
      <wne:macro wne:macroName="MATHTYPECOMMANDS.UILIB.MTCOMMAND_MATHINPUTCONTROL"/>
    </wne:keymap>
    <wne:keymap wne:kcmPrimary="0445">
      <wne:macro wne:macroName="MATHTYPECOMMANDS.UILIB.MTCOMMAND_EDITEQUATIONINPLACE"/>
    </wne:keymap>
    <wne:keymap wne:kcmPrimary="044F">
      <wne:macro wne:macroName="MATHTYPECOMMANDS.UILIB.MTCOMMAND_EDITEQUATIONOPEN"/>
    </wne:keymap>
    <wne:keymap wne:kcmPrimary="0451">
      <wne:macro wne:macroName="MATHTYPECOMMANDS.UILIB.MTCOMMAND_INSERTDISPEQN"/>
    </wne:keymap>
    <wne:keymap wne:kcmPrimary="04DC">
      <wne:macro wne:macroName="MATHTYPECOMMANDS.UILIB.MTCOMMAND_TEXTOGGLE"/>
    </wne:keymap>
    <wne:keymap wne:kcmPrimary="0551">
      <wne:macro wne:macroName="MATHTYPECOMMANDS.UILIB.MTCOMMAND_INSERTRIGHTNUMBEREDDISPEQN"/>
    </wne:keymap>
    <wne:keymap wne:kcmPrimary="0651">
      <wne:macro wne:macroName="MATHTYPECOMMANDS.UILIB.MTCOMMAND_INSERTINLINEEQN"/>
    </wne:keymap>
    <wne:keymap wne:kcmPrimary="0751">
      <wne:macro wne:macroName="MATHTYPECOMMANDS.UILIB.MTCOMMAND_INSERTLEFTNUMBEREDDISPEQN"/>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E66CB563-DC07-4261-9ABC-4AB3E2B0D162}"/>
  </w:font>
  <w:font w:name="方正小标宋简体">
    <w:panose1 w:val="02000000000000000000"/>
    <w:charset w:val="86"/>
    <w:family w:val="auto"/>
    <w:pitch w:val="default"/>
    <w:sig w:usb0="00000001" w:usb1="08000000" w:usb2="00000000" w:usb3="00000000" w:csb0="00040000" w:csb1="00000000"/>
    <w:embedRegular r:id="rId2" w:fontKey="{3B2EB586-4D6F-4090-80E6-0CF2661A8E7C}"/>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FD2CB">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CBD6C">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5697C">
    <w:pPr>
      <w:pStyle w:val="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12A91">
    <w:pPr>
      <w:pStyle w:val="7"/>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57DCB">
                          <w:pPr>
                            <w:pStyle w:val="7"/>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8757DCB">
                    <w:pPr>
                      <w:pStyle w:val="7"/>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4" w:lineRule="auto"/>
      </w:pPr>
      <w:r>
        <w:separator/>
      </w:r>
    </w:p>
  </w:footnote>
  <w:footnote w:type="continuationSeparator" w:id="1">
    <w:p>
      <w:pPr>
        <w:spacing w:before="0" w:after="0" w:line="26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39CFB">
    <w:pPr>
      <w:pStyle w:val="8"/>
      <w:jc w:val="left"/>
    </w:pPr>
    <w:r>
      <w:rPr>
        <w:rFonts w:hint="eastAsia"/>
      </w:rPr>
      <w:t xml:space="preserve"> 顶康科技有限公司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43537">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B6A8E">
    <w:pPr>
      <w:pStyle w:val="8"/>
      <w:pBdr>
        <w:bottom w:val="none" w:color="auto" w:sz="0" w:space="1"/>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9D714">
    <w:pPr>
      <w:pStyle w:val="8"/>
      <w:pBdr>
        <w:bottom w:val="none" w:color="auto" w:sz="0" w:space="1"/>
      </w:pBd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0"/>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FlMWIzODVkOGE3ZTAzYjIxMzhhYjQ3ZGYxOGU5YzMifQ=="/>
  </w:docVars>
  <w:rsids>
    <w:rsidRoot w:val="00172A27"/>
    <w:rsid w:val="00003CB7"/>
    <w:rsid w:val="000210F2"/>
    <w:rsid w:val="000E3F77"/>
    <w:rsid w:val="000E4141"/>
    <w:rsid w:val="00172A27"/>
    <w:rsid w:val="00224FC5"/>
    <w:rsid w:val="002903EA"/>
    <w:rsid w:val="002979AB"/>
    <w:rsid w:val="002D19BE"/>
    <w:rsid w:val="002D4CE0"/>
    <w:rsid w:val="002E2BC5"/>
    <w:rsid w:val="00303943"/>
    <w:rsid w:val="003224A1"/>
    <w:rsid w:val="00334314"/>
    <w:rsid w:val="003655A0"/>
    <w:rsid w:val="003841AA"/>
    <w:rsid w:val="003D28DB"/>
    <w:rsid w:val="003F39BC"/>
    <w:rsid w:val="003F49AC"/>
    <w:rsid w:val="00406D76"/>
    <w:rsid w:val="00453A4B"/>
    <w:rsid w:val="00457409"/>
    <w:rsid w:val="004B2FD7"/>
    <w:rsid w:val="004E5BCA"/>
    <w:rsid w:val="00570EB1"/>
    <w:rsid w:val="00573756"/>
    <w:rsid w:val="00573AF5"/>
    <w:rsid w:val="005B0D3D"/>
    <w:rsid w:val="005C53FA"/>
    <w:rsid w:val="00662387"/>
    <w:rsid w:val="00676363"/>
    <w:rsid w:val="00677DE0"/>
    <w:rsid w:val="00677FBE"/>
    <w:rsid w:val="006C641A"/>
    <w:rsid w:val="00704F71"/>
    <w:rsid w:val="00706C0B"/>
    <w:rsid w:val="00707E43"/>
    <w:rsid w:val="00730B82"/>
    <w:rsid w:val="007515F2"/>
    <w:rsid w:val="00781761"/>
    <w:rsid w:val="00795C89"/>
    <w:rsid w:val="00796122"/>
    <w:rsid w:val="007C1ED8"/>
    <w:rsid w:val="007D03DD"/>
    <w:rsid w:val="007D1074"/>
    <w:rsid w:val="007F3672"/>
    <w:rsid w:val="00811576"/>
    <w:rsid w:val="00815893"/>
    <w:rsid w:val="008368CF"/>
    <w:rsid w:val="00873380"/>
    <w:rsid w:val="008E1B1A"/>
    <w:rsid w:val="008E5A23"/>
    <w:rsid w:val="00965A63"/>
    <w:rsid w:val="009B0EF0"/>
    <w:rsid w:val="009F575E"/>
    <w:rsid w:val="00A06E41"/>
    <w:rsid w:val="00A138E3"/>
    <w:rsid w:val="00A24A52"/>
    <w:rsid w:val="00A415E1"/>
    <w:rsid w:val="00A97B46"/>
    <w:rsid w:val="00AB1D6B"/>
    <w:rsid w:val="00AB54AF"/>
    <w:rsid w:val="00AC7058"/>
    <w:rsid w:val="00B27203"/>
    <w:rsid w:val="00BD28B7"/>
    <w:rsid w:val="00BE5A80"/>
    <w:rsid w:val="00C110B7"/>
    <w:rsid w:val="00C4143A"/>
    <w:rsid w:val="00C74848"/>
    <w:rsid w:val="00C87C6F"/>
    <w:rsid w:val="00CB3DB4"/>
    <w:rsid w:val="00CE66F9"/>
    <w:rsid w:val="00D03937"/>
    <w:rsid w:val="00DA749F"/>
    <w:rsid w:val="00DC4249"/>
    <w:rsid w:val="00E2202E"/>
    <w:rsid w:val="00EA1AE2"/>
    <w:rsid w:val="00EA6AD9"/>
    <w:rsid w:val="00ED7470"/>
    <w:rsid w:val="00EF5D55"/>
    <w:rsid w:val="00F66A24"/>
    <w:rsid w:val="00F7355F"/>
    <w:rsid w:val="00F7527D"/>
    <w:rsid w:val="00F920AF"/>
    <w:rsid w:val="00FA7AC0"/>
    <w:rsid w:val="01000C20"/>
    <w:rsid w:val="06D93F2C"/>
    <w:rsid w:val="1132034E"/>
    <w:rsid w:val="12C83984"/>
    <w:rsid w:val="17B34C1F"/>
    <w:rsid w:val="18EA7A94"/>
    <w:rsid w:val="1C907DE2"/>
    <w:rsid w:val="1CF23A87"/>
    <w:rsid w:val="203264EB"/>
    <w:rsid w:val="2AB67780"/>
    <w:rsid w:val="2B2F25EE"/>
    <w:rsid w:val="2C057893"/>
    <w:rsid w:val="392D36D6"/>
    <w:rsid w:val="3E15257A"/>
    <w:rsid w:val="41062C07"/>
    <w:rsid w:val="43C7191E"/>
    <w:rsid w:val="44251618"/>
    <w:rsid w:val="442B210A"/>
    <w:rsid w:val="4A252539"/>
    <w:rsid w:val="4BFD6C59"/>
    <w:rsid w:val="50D629A2"/>
    <w:rsid w:val="53571726"/>
    <w:rsid w:val="597358EA"/>
    <w:rsid w:val="66850B47"/>
    <w:rsid w:val="6C3D48BE"/>
    <w:rsid w:val="6FE46709"/>
    <w:rsid w:val="772D3386"/>
    <w:rsid w:val="7A0D31AE"/>
    <w:rsid w:val="7C4A5349"/>
    <w:rsid w:val="FF7D43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20" w:line="264" w:lineRule="auto"/>
    </w:pPr>
    <w:rPr>
      <w:rFonts w:asciiTheme="minorHAnsi" w:hAnsiTheme="minorHAnsi" w:eastAsiaTheme="minorEastAsia" w:cstheme="minorBidi"/>
      <w:lang w:val="en-US" w:eastAsia="zh-CN" w:bidi="ar-SA"/>
    </w:rPr>
  </w:style>
  <w:style w:type="paragraph" w:styleId="2">
    <w:name w:val="heading 1"/>
    <w:basedOn w:val="1"/>
    <w:next w:val="1"/>
    <w:qFormat/>
    <w:uiPriority w:val="9"/>
    <w:pPr>
      <w:keepNext/>
      <w:keepLines/>
      <w:spacing w:before="320" w:after="0" w:line="240" w:lineRule="auto"/>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21"/>
    <w:unhideWhenUsed/>
    <w:qFormat/>
    <w:uiPriority w:val="9"/>
    <w:pPr>
      <w:keepNext/>
      <w:keepLines/>
      <w:spacing w:before="80" w:after="0" w:line="240" w:lineRule="auto"/>
      <w:outlineLvl w:val="1"/>
    </w:pPr>
    <w:rPr>
      <w:rFonts w:asciiTheme="majorHAnsi" w:hAnsiTheme="majorHAnsi" w:eastAsiaTheme="majorEastAsia" w:cstheme="majorBidi"/>
      <w:color w:val="404040" w:themeColor="text1" w:themeTint="BF"/>
      <w:sz w:val="28"/>
      <w:szCs w:val="28"/>
      <w14:textFill>
        <w14:solidFill>
          <w14:schemeClr w14:val="tx1">
            <w14:lumMod w14:val="75000"/>
            <w14:lumOff w14:val="25000"/>
          </w14:schemeClr>
        </w14:solidFill>
      </w14:textFill>
    </w:rPr>
  </w:style>
  <w:style w:type="character" w:default="1" w:styleId="14">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caption"/>
    <w:basedOn w:val="1"/>
    <w:next w:val="1"/>
    <w:unhideWhenUsed/>
    <w:qFormat/>
    <w:uiPriority w:val="35"/>
    <w:pPr>
      <w:spacing w:line="240" w:lineRule="auto"/>
    </w:pPr>
    <w:rPr>
      <w:b/>
      <w:bCs/>
      <w:smallCaps/>
      <w:color w:val="595959" w:themeColor="text1" w:themeTint="A6"/>
      <w:spacing w:val="6"/>
      <w14:textFill>
        <w14:solidFill>
          <w14:schemeClr w14:val="tx1">
            <w14:lumMod w14:val="65000"/>
            <w14:lumOff w14:val="35000"/>
          </w14:schemeClr>
        </w14:solidFill>
      </w14:textFill>
    </w:rPr>
  </w:style>
  <w:style w:type="paragraph" w:styleId="5">
    <w:name w:val="Body Text"/>
    <w:basedOn w:val="1"/>
    <w:qFormat/>
    <w:uiPriority w:val="0"/>
  </w:style>
  <w:style w:type="paragraph" w:styleId="6">
    <w:name w:val="Balloon Text"/>
    <w:basedOn w:val="1"/>
    <w:link w:val="19"/>
    <w:qFormat/>
    <w:uiPriority w:val="0"/>
    <w:pPr>
      <w:spacing w:after="0" w:line="240" w:lineRule="auto"/>
    </w:pPr>
    <w:rPr>
      <w:sz w:val="18"/>
      <w:szCs w:val="18"/>
    </w:rPr>
  </w:style>
  <w:style w:type="paragraph" w:styleId="7">
    <w:name w:val="footer"/>
    <w:basedOn w:val="1"/>
    <w:qFormat/>
    <w:uiPriority w:val="0"/>
    <w:pPr>
      <w:tabs>
        <w:tab w:val="center" w:pos="4153"/>
        <w:tab w:val="right" w:pos="8306"/>
      </w:tabs>
      <w:snapToGrid w:val="0"/>
      <w:spacing w:line="240" w:lineRule="auto"/>
    </w:pPr>
    <w:rPr>
      <w:sz w:val="18"/>
      <w:szCs w:val="18"/>
    </w:rPr>
  </w:style>
  <w:style w:type="paragraph" w:styleId="8">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9">
    <w:name w:val="toc 1"/>
    <w:basedOn w:val="1"/>
    <w:next w:val="1"/>
    <w:unhideWhenUsed/>
    <w:qFormat/>
    <w:uiPriority w:val="39"/>
    <w:pPr>
      <w:tabs>
        <w:tab w:val="right" w:leader="dot" w:pos="8296"/>
      </w:tabs>
      <w:jc w:val="center"/>
    </w:pPr>
  </w:style>
  <w:style w:type="paragraph" w:styleId="10">
    <w:name w:val="toc 2"/>
    <w:basedOn w:val="1"/>
    <w:next w:val="1"/>
    <w:qFormat/>
    <w:uiPriority w:val="39"/>
    <w:pPr>
      <w:ind w:left="420" w:leftChars="200"/>
    </w:pPr>
  </w:style>
  <w:style w:type="paragraph" w:styleId="11">
    <w:name w:val="Normal (Web)"/>
    <w:basedOn w:val="1"/>
    <w:unhideWhenUsed/>
    <w:qFormat/>
    <w:uiPriority w:val="99"/>
    <w:pPr>
      <w:spacing w:before="100" w:beforeAutospacing="1" w:after="100" w:afterAutospacing="1"/>
    </w:pPr>
    <w:rPr>
      <w:rFonts w:ascii="宋体" w:hAnsi="宋体" w:cs="宋体"/>
      <w:sz w:val="24"/>
    </w:rPr>
  </w:style>
  <w:style w:type="table" w:styleId="13">
    <w:name w:val="Table Grid"/>
    <w:basedOn w:val="1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Emphasis"/>
    <w:basedOn w:val="14"/>
    <w:qFormat/>
    <w:uiPriority w:val="0"/>
    <w:rPr>
      <w:i/>
    </w:rPr>
  </w:style>
  <w:style w:type="character" w:styleId="16">
    <w:name w:val="Hyperlink"/>
    <w:basedOn w:val="14"/>
    <w:unhideWhenUsed/>
    <w:qFormat/>
    <w:uiPriority w:val="99"/>
    <w:rPr>
      <w:color w:val="0563C1" w:themeColor="hyperlink"/>
      <w:u w:val="single"/>
      <w14:textFill>
        <w14:solidFill>
          <w14:schemeClr w14:val="hlink"/>
        </w14:solidFill>
      </w14:textFill>
    </w:rPr>
  </w:style>
  <w:style w:type="paragraph" w:customStyle="1" w:styleId="17">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paragraph" w:customStyle="1" w:styleId="18">
    <w:name w:val="列出段落1"/>
    <w:basedOn w:val="1"/>
    <w:qFormat/>
    <w:uiPriority w:val="34"/>
    <w:pPr>
      <w:autoSpaceDE w:val="0"/>
      <w:autoSpaceDN w:val="0"/>
      <w:ind w:left="240"/>
    </w:pPr>
    <w:rPr>
      <w:rFonts w:ascii="宋体" w:hAnsi="宋体" w:cs="宋体"/>
      <w:sz w:val="22"/>
      <w:szCs w:val="22"/>
      <w:lang w:eastAsia="en-US"/>
    </w:rPr>
  </w:style>
  <w:style w:type="character" w:customStyle="1" w:styleId="19">
    <w:name w:val="批注框文本 Char"/>
    <w:basedOn w:val="14"/>
    <w:link w:val="6"/>
    <w:qFormat/>
    <w:uiPriority w:val="0"/>
    <w:rPr>
      <w:rFonts w:asciiTheme="minorHAnsi" w:hAnsiTheme="minorHAnsi" w:eastAsiaTheme="minorEastAsia" w:cstheme="minorBidi"/>
      <w:sz w:val="18"/>
      <w:szCs w:val="18"/>
    </w:rPr>
  </w:style>
  <w:style w:type="character" w:customStyle="1" w:styleId="20">
    <w:name w:val="标题 2a"/>
    <w:qFormat/>
    <w:uiPriority w:val="0"/>
    <w:rPr>
      <w:rFonts w:ascii="Times New Roman" w:hAnsi="Times New Roman" w:eastAsia="宋体"/>
      <w:b/>
      <w:bCs/>
      <w:kern w:val="2"/>
      <w:sz w:val="24"/>
      <w:szCs w:val="24"/>
      <w:lang w:val="en-US" w:eastAsia="zh-CN" w:bidi="ar-SA"/>
    </w:rPr>
  </w:style>
  <w:style w:type="character" w:customStyle="1" w:styleId="21">
    <w:name w:val="标题 2 Char"/>
    <w:link w:val="3"/>
    <w:qFormat/>
    <w:uiPriority w:val="9"/>
    <w:rPr>
      <w:rFonts w:asciiTheme="majorHAnsi" w:hAnsiTheme="majorHAnsi" w:eastAsiaTheme="majorEastAsia" w:cstheme="majorBidi"/>
      <w:color w:val="404040" w:themeColor="text1" w:themeTint="BF"/>
      <w:sz w:val="28"/>
      <w:szCs w:val="28"/>
      <w14:textFill>
        <w14:solidFill>
          <w14:schemeClr w14:val="tx1">
            <w14:lumMod w14:val="75000"/>
            <w14:lumOff w14:val="25000"/>
          </w14:schemeClr>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microsoft.com/office/2006/relationships/keyMapCustomizations" Target="customizations.xml"/><Relationship Id="rId17" Type="http://schemas.openxmlformats.org/officeDocument/2006/relationships/customXml" Target="../customXml/item2.xml"/><Relationship Id="rId16" Type="http://schemas.openxmlformats.org/officeDocument/2006/relationships/customXml" Target="../customXml/item1.xml"/><Relationship Id="rId15" Type="http://schemas.openxmlformats.org/officeDocument/2006/relationships/image" Target="media/image2.jpe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24A447-D7E9-4E85-85FD-32E7D5E0FD7C}">
  <ds:schemaRefs/>
</ds:datastoreItem>
</file>

<file path=docProps/app.xml><?xml version="1.0" encoding="utf-8"?>
<Properties xmlns="http://schemas.openxmlformats.org/officeDocument/2006/extended-properties" xmlns:vt="http://schemas.openxmlformats.org/officeDocument/2006/docPropsVTypes">
  <Template>Normal</Template>
  <Pages>21</Pages>
  <Words>7024</Words>
  <Characters>7617</Characters>
  <Lines>83</Lines>
  <Paragraphs>23</Paragraphs>
  <TotalTime>2</TotalTime>
  <ScaleCrop>false</ScaleCrop>
  <LinksUpToDate>false</LinksUpToDate>
  <CharactersWithSpaces>7673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2019-06-11T15:58:00Z</dcterms:created>
  <dc:creator>鹤鸣1383725861</dc:creator>
  <cp:lastModifiedBy>WPS_1623034547</cp:lastModifiedBy>
  <cp:lastPrinted>2021-04-17T05:33:00Z</cp:lastPrinted>
  <dcterms:modified xsi:type="dcterms:W3CDTF">2026-06-27T06:35:59Z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3E8884F94819422582512604ED72917F</vt:lpwstr>
  </property>
  <property fmtid="{D5CDD505-2E9C-101B-9397-08002B2CF9AE}" pid="4" name="KSOTemplateDocerSaveRecord">
    <vt:lpwstr>eyJoZGlkIjoiMWM1OGE0NDM1MDQ1YTBkMzA4MmM3ZjJjOTg5ZGQyZTEiLCJ1c2VySWQiOiIxMjE3NzcyNTg0In0=</vt:lpwstr>
  </property>
</Properties>
</file>